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Mixtures</w:t>
      </w:r>
    </w:p>
    <w:p>
      <w:r>
        <w:t>Report ID:1488Objective:Analyze various cosmetic mixtures using diverse analytical instruments to evaluate their physical and chemical properties.</w:t>
      </w:r>
    </w:p>
    <w:p>
      <w:r>
        <w:t>Introduction</w:t>
      </w:r>
    </w:p>
    <w:p>
      <w:r>
        <w:t>Cosmetic formulations consist of multiple ingredients, each contributing unique characteristics to the final product. To understand these complex preparations, a series of advanced instruments has been employed. This report documents the rheological, spectroscopic, and chromatographic analyses of various mixtures involving components like Almond Oil, Coconut Oil, Beeswax, Vitamin E, etc. It's crucial to note that these tests aim to identify molecular interactions, stability, and functionality of the components mixed.</w:t>
      </w:r>
    </w:p>
    <w:p>
      <w:r>
        <w:t>Instrumentation</w:t>
      </w:r>
    </w:p>
    <w:p>
      <w:r>
        <w:t>Table 1: Instruments Used</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Model</w:t>
            </w:r>
          </w:p>
        </w:tc>
        <w:tc>
          <w:tcPr>
            <w:tcW w:type="dxa" w:w="2880"/>
          </w:tcPr>
          <w:p>
            <w:pPr>
              <w:jc w:val="center"/>
            </w:pPr>
            <w:r>
              <w:rPr>
                <w:b/>
              </w:rPr>
              <w:t>Function</w:t>
            </w:r>
          </w:p>
        </w:tc>
      </w:tr>
      <w:tr>
        <w:tc>
          <w:tcPr>
            <w:tcW w:type="dxa" w:w="2880"/>
          </w:tcPr>
          <w:p>
            <w:pPr>
              <w:jc w:val="center"/>
            </w:pPr>
            <w:r>
              <w:t>Rheometer</w:t>
            </w:r>
          </w:p>
        </w:tc>
        <w:tc>
          <w:tcPr>
            <w:tcW w:type="dxa" w:w="2880"/>
          </w:tcPr>
          <w:p>
            <w:pPr>
              <w:jc w:val="center"/>
            </w:pPr>
            <w:r>
              <w:t>R-4500</w:t>
            </w:r>
          </w:p>
        </w:tc>
        <w:tc>
          <w:tcPr>
            <w:tcW w:type="dxa" w:w="2880"/>
          </w:tcPr>
          <w:p>
            <w:pPr>
              <w:jc w:val="center"/>
            </w:pPr>
            <w:r>
              <w:t>Measures viscosity and flow properties</w:t>
            </w:r>
          </w:p>
        </w:tc>
      </w:tr>
      <w:tr>
        <w:tc>
          <w:tcPr>
            <w:tcW w:type="dxa" w:w="2880"/>
          </w:tcPr>
          <w:p>
            <w:pPr>
              <w:jc w:val="center"/>
            </w:pPr>
            <w:r>
              <w:t>NMR Spectrometer</w:t>
            </w:r>
          </w:p>
        </w:tc>
        <w:tc>
          <w:tcPr>
            <w:tcW w:type="dxa" w:w="2880"/>
          </w:tcPr>
          <w:p>
            <w:pPr>
              <w:jc w:val="center"/>
            </w:pPr>
            <w:r>
              <w:t>NMR-500</w:t>
            </w:r>
          </w:p>
        </w:tc>
        <w:tc>
          <w:tcPr>
            <w:tcW w:type="dxa" w:w="2880"/>
          </w:tcPr>
          <w:p>
            <w:pPr>
              <w:jc w:val="center"/>
            </w:pPr>
            <w:r>
              <w:t>Analyzes molecular structure</w:t>
            </w:r>
          </w:p>
        </w:tc>
      </w:tr>
      <w:tr>
        <w:tc>
          <w:tcPr>
            <w:tcW w:type="dxa" w:w="2880"/>
          </w:tcPr>
          <w:p>
            <w:pPr>
              <w:jc w:val="center"/>
            </w:pPr>
            <w:r>
              <w:t>Spectrometer</w:t>
            </w:r>
          </w:p>
        </w:tc>
        <w:tc>
          <w:tcPr>
            <w:tcW w:type="dxa" w:w="2880"/>
          </w:tcPr>
          <w:p>
            <w:pPr>
              <w:jc w:val="center"/>
            </w:pPr>
            <w:r>
              <w:t>Alpha-300</w:t>
            </w:r>
          </w:p>
        </w:tc>
        <w:tc>
          <w:tcPr>
            <w:tcW w:type="dxa" w:w="2880"/>
          </w:tcPr>
          <w:p>
            <w:pPr>
              <w:jc w:val="center"/>
            </w:pPr>
            <w:r>
              <w:t>Measures spectral absorbance</w:t>
            </w:r>
          </w:p>
        </w:tc>
      </w:tr>
      <w:tr>
        <w:tc>
          <w:tcPr>
            <w:tcW w:type="dxa" w:w="2880"/>
          </w:tcPr>
          <w:p>
            <w:pPr>
              <w:jc w:val="center"/>
            </w:pPr>
            <w:r>
              <w:t>Gas Chromatograph</w:t>
            </w:r>
          </w:p>
        </w:tc>
        <w:tc>
          <w:tcPr>
            <w:tcW w:type="dxa" w:w="2880"/>
          </w:tcPr>
          <w:p>
            <w:pPr>
              <w:jc w:val="center"/>
            </w:pPr>
            <w:r>
              <w:t>GC-2010</w:t>
            </w:r>
          </w:p>
        </w:tc>
        <w:tc>
          <w:tcPr>
            <w:tcW w:type="dxa" w:w="2880"/>
          </w:tcPr>
          <w:p>
            <w:pPr>
              <w:jc w:val="center"/>
            </w:pPr>
            <w:r>
              <w:t>Separates and analyzes volatile compounds</w:t>
            </w:r>
          </w:p>
        </w:tc>
      </w:tr>
      <w:tr>
        <w:tc>
          <w:tcPr>
            <w:tcW w:type="dxa" w:w="2880"/>
          </w:tcPr>
          <w:p>
            <w:pPr>
              <w:jc w:val="center"/>
            </w:pPr>
            <w:r>
              <w:t>Liquid Chromatograph</w:t>
            </w:r>
          </w:p>
        </w:tc>
        <w:tc>
          <w:tcPr>
            <w:tcW w:type="dxa" w:w="2880"/>
          </w:tcPr>
          <w:p>
            <w:pPr>
              <w:jc w:val="center"/>
            </w:pPr>
            <w:r>
              <w:t>LC-400</w:t>
            </w:r>
          </w:p>
        </w:tc>
        <w:tc>
          <w:tcPr>
            <w:tcW w:type="dxa" w:w="2880"/>
          </w:tcPr>
          <w:p>
            <w:pPr>
              <w:jc w:val="center"/>
            </w:pPr>
            <w:r>
              <w:t>Analyzes liquid samples</w:t>
            </w:r>
          </w:p>
        </w:tc>
      </w:tr>
      <w:tr>
        <w:tc>
          <w:tcPr>
            <w:tcW w:type="dxa" w:w="2880"/>
          </w:tcPr>
          <w:p>
            <w:pPr>
              <w:jc w:val="center"/>
            </w:pPr>
            <w:r>
              <w:t>FTIR Spectrometer</w:t>
            </w:r>
          </w:p>
        </w:tc>
        <w:tc>
          <w:tcPr>
            <w:tcW w:type="dxa" w:w="2880"/>
          </w:tcPr>
          <w:p>
            <w:pPr>
              <w:jc w:val="center"/>
            </w:pPr>
            <w:r>
              <w:t>FTIR-8400</w:t>
            </w:r>
          </w:p>
        </w:tc>
        <w:tc>
          <w:tcPr>
            <w:tcW w:type="dxa" w:w="2880"/>
          </w:tcPr>
          <w:p>
            <w:pPr>
              <w:jc w:val="center"/>
            </w:pPr>
            <w:r>
              <w:t>Identifies functional groups</w:t>
            </w:r>
          </w:p>
        </w:tc>
      </w:tr>
      <w:tr>
        <w:tc>
          <w:tcPr>
            <w:tcW w:type="dxa" w:w="2880"/>
          </w:tcPr>
          <w:p>
            <w:pPr>
              <w:jc w:val="center"/>
            </w:pPr>
            <w:r>
              <w:t>Ion Chromatograph</w:t>
            </w:r>
          </w:p>
        </w:tc>
        <w:tc>
          <w:tcPr>
            <w:tcW w:type="dxa" w:w="2880"/>
          </w:tcPr>
          <w:p>
            <w:pPr>
              <w:jc w:val="center"/>
            </w:pPr>
            <w:r>
              <w:t>IC-2100</w:t>
            </w:r>
          </w:p>
        </w:tc>
        <w:tc>
          <w:tcPr>
            <w:tcW w:type="dxa" w:w="2880"/>
          </w:tcPr>
          <w:p>
            <w:pPr>
              <w:jc w:val="center"/>
            </w:pPr>
            <w:r>
              <w:t>Analyzes ions in samples</w:t>
            </w:r>
          </w:p>
        </w:tc>
      </w:tr>
      <w:tr>
        <w:tc>
          <w:tcPr>
            <w:tcW w:type="dxa" w:w="2880"/>
          </w:tcPr>
          <w:p>
            <w:pPr>
              <w:jc w:val="center"/>
            </w:pPr>
            <w:r>
              <w:t>Titrator</w:t>
            </w:r>
          </w:p>
        </w:tc>
        <w:tc>
          <w:tcPr>
            <w:tcW w:type="dxa" w:w="2880"/>
          </w:tcPr>
          <w:p>
            <w:pPr>
              <w:jc w:val="center"/>
            </w:pPr>
            <w:r>
              <w:t>T-905</w:t>
            </w:r>
          </w:p>
        </w:tc>
        <w:tc>
          <w:tcPr>
            <w:tcW w:type="dxa" w:w="2880"/>
          </w:tcPr>
          <w:p>
            <w:pPr>
              <w:jc w:val="center"/>
            </w:pPr>
            <w:r>
              <w:t>Measures concentration of a solution</w:t>
            </w:r>
          </w:p>
        </w:tc>
      </w:tr>
      <w:tr>
        <w:tc>
          <w:tcPr>
            <w:tcW w:type="dxa" w:w="2880"/>
          </w:tcPr>
          <w:p>
            <w:pPr>
              <w:jc w:val="center"/>
            </w:pPr>
            <w:r>
              <w:t>Conductivity Meter</w:t>
            </w:r>
          </w:p>
        </w:tc>
        <w:tc>
          <w:tcPr>
            <w:tcW w:type="dxa" w:w="2880"/>
          </w:tcPr>
          <w:p>
            <w:pPr>
              <w:jc w:val="center"/>
            </w:pPr>
            <w:r>
              <w:t>CM-215</w:t>
            </w:r>
          </w:p>
        </w:tc>
        <w:tc>
          <w:tcPr>
            <w:tcW w:type="dxa" w:w="2880"/>
          </w:tcPr>
          <w:p>
            <w:pPr>
              <w:jc w:val="center"/>
            </w:pPr>
            <w:r>
              <w:t>Measures ionic conductivity</w:t>
            </w:r>
          </w:p>
        </w:tc>
      </w:tr>
      <w:tr>
        <w:tc>
          <w:tcPr>
            <w:tcW w:type="dxa" w:w="2880"/>
          </w:tcPr>
          <w:p>
            <w:pPr>
              <w:jc w:val="center"/>
            </w:pPr>
            <w:r>
              <w:t>Viscometer</w:t>
            </w:r>
          </w:p>
        </w:tc>
        <w:tc>
          <w:tcPr>
            <w:tcW w:type="dxa" w:w="2880"/>
          </w:tcPr>
          <w:p>
            <w:pPr>
              <w:jc w:val="center"/>
            </w:pPr>
            <w:r>
              <w:t>VS-300</w:t>
            </w:r>
          </w:p>
        </w:tc>
        <w:tc>
          <w:tcPr>
            <w:tcW w:type="dxa" w:w="2880"/>
          </w:tcPr>
          <w:p>
            <w:pPr>
              <w:jc w:val="center"/>
            </w:pPr>
            <w:r>
              <w:t>Measures viscosity</w:t>
            </w:r>
          </w:p>
        </w:tc>
      </w:tr>
    </w:tbl>
    <w:p>
      <w:r>
        <w:t>Experimental Section</w:t>
      </w:r>
    </w:p>
    <w:p>
      <w:r>
        <w:t>Rheological Analysis</w:t>
      </w:r>
    </w:p>
    <w:p>
      <w:r>
        <w:t>The Rheometer R-4500 was engaged to determine the viscosity of Almond Oil, Beeswax, and Vitamin E mixture. The material exhibited a viscosity of 250 Pa-s, indicating a semi-solid nature typical for emulsions.</w:t>
      </w:r>
    </w:p>
    <w:p>
      <w:r>
        <w:t>plaintext</w:t>
        <w:br/>
        <w:t>Note: The omni-directional rheometrical excursions detail a paramount forethought into the sample's multilayered viscosity &amp; mechanical cohesion.</w:t>
      </w:r>
    </w:p>
    <w:p>
      <w:r>
        <w:t>Spectroscopic Analysis</w:t>
      </w:r>
    </w:p>
    <w:p>
      <w:r>
        <w:t>NMR Spectroscopy:</w:t>
      </w:r>
    </w:p>
    <w:p>
      <w:r>
        <w:t>Table 2 displays the NMR spectroscopy results of the Almond Oil and Glycerin mixture.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Components</w:t>
            </w:r>
          </w:p>
        </w:tc>
        <w:tc>
          <w:tcPr>
            <w:tcW w:type="dxa" w:w="4320"/>
          </w:tcPr>
          <w:p>
            <w:pPr>
              <w:jc w:val="center"/>
            </w:pPr>
            <w:r>
              <w:rPr>
                <w:b/>
              </w:rPr>
              <w:t>Chemical Shift (ppm)</w:t>
            </w:r>
          </w:p>
        </w:tc>
      </w:tr>
      <w:tr>
        <w:tc>
          <w:tcPr>
            <w:tcW w:type="dxa" w:w="4320"/>
          </w:tcPr>
          <w:p>
            <w:pPr>
              <w:jc w:val="center"/>
            </w:pPr>
            <w:r>
              <w:t>Almond Oil, Glycerin</w:t>
            </w:r>
          </w:p>
        </w:tc>
        <w:tc>
          <w:tcPr>
            <w:tcW w:type="dxa" w:w="4320"/>
          </w:tcPr>
          <w:p>
            <w:pPr>
              <w:jc w:val="center"/>
            </w:pPr>
            <w:r>
              <w:t>15</w:t>
            </w:r>
          </w:p>
        </w:tc>
      </w:tr>
    </w:tbl>
    <w:p>
      <w:r>
        <w:t>Unwavering resonance peaks at 15 ppm validate the purity and potential bonding interactions between Almond Oil and Glycerin.</w:t>
      </w:r>
    </w:p>
    <w:p>
      <w:r>
        <w:t>FTIR Spectroscopy:</w:t>
      </w:r>
    </w:p>
    <w:p>
      <w:r>
        <w:t>Table 3: FTIR Spectroscopy Findings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Components</w:t>
            </w:r>
          </w:p>
        </w:tc>
        <w:tc>
          <w:tcPr>
            <w:tcW w:type="dxa" w:w="4320"/>
          </w:tcPr>
          <w:p>
            <w:pPr>
              <w:jc w:val="center"/>
            </w:pPr>
            <w:r>
              <w:rPr>
                <w:b/>
              </w:rPr>
              <w:t>Wavenumber (1/cm)</w:t>
            </w:r>
          </w:p>
        </w:tc>
      </w:tr>
      <w:tr>
        <w:tc>
          <w:tcPr>
            <w:tcW w:type="dxa" w:w="4320"/>
          </w:tcPr>
          <w:p>
            <w:pPr>
              <w:jc w:val="center"/>
            </w:pPr>
            <w:r>
              <w:t>Coconut Oil, Glycerin</w:t>
            </w:r>
          </w:p>
        </w:tc>
        <w:tc>
          <w:tcPr>
            <w:tcW w:type="dxa" w:w="4320"/>
          </w:tcPr>
          <w:p>
            <w:pPr>
              <w:jc w:val="center"/>
            </w:pPr>
            <w:r>
              <w:t>1500</w:t>
            </w:r>
          </w:p>
        </w:tc>
      </w:tr>
    </w:tbl>
    <w:p>
      <w:r>
        <w:t>Wave absorption at 1500 1/cm illustrates the presence of critical functional groups, reverberating the bonding anecdotes elucidated through NMR data.</w:t>
      </w:r>
    </w:p>
    <w:p>
      <w:r>
        <w:t>Chromatographic Analysis</w:t>
      </w:r>
    </w:p>
    <w:p>
      <w:r>
        <w:t>Gas Chromatography:</w:t>
      </w:r>
    </w:p>
    <w:p>
      <w:r>
        <w:t>Liquid Chromatography:</w:t>
      </w:r>
    </w:p>
    <w:p>
      <w:r>
        <w:t>Ion Analysis</w:t>
      </w:r>
    </w:p>
    <w:p>
      <w:r>
        <w:t>Ion Chromatograph:</w:t>
      </w:r>
    </w:p>
    <w:p>
      <w:r>
        <w:t>Ion Chromatograph evaluation indicated a measurable quantity of 10 mM for the Almond Oil and Vitamin E, correlating with ionic exchange mechanisms identified previously.</w:t>
      </w:r>
    </w:p>
    <w:p>
      <w:r>
        <w:t>Other Measurements</w:t>
      </w:r>
    </w:p>
    <w:p>
      <w:r>
        <w:t>Conductivity:</w:t>
      </w:r>
    </w:p>
    <w:p>
      <w:r>
        <w:t>Viscometry:</w:t>
      </w:r>
    </w:p>
    <w:p>
      <w:r>
        <w:t>These results showcase differing viscosities, indicative of unique interaction landscapes within the mixtures.</w:t>
      </w:r>
    </w:p>
    <w:p>
      <w:r>
        <w:t>Conclusion</w:t>
      </w:r>
    </w:p>
    <w:p>
      <w:r>
        <w:t>The use of multifaceted analytical methods provided comprehensive insights into the physicochemical properties of several oil-based cosmetic mixtures. Results illustrated the substantial impact of ingredient interactions on viscosity, spectral behavior, and ionic properties.</w:t>
      </w:r>
    </w:p>
    <w:p>
      <w:r>
        <w:t>Miscellaneous Observations</w:t>
      </w:r>
    </w:p>
    <w:p>
      <w:r>
        <w:t>Final Notes:The intrinsic complexities manifest in these mixtures underscore the necessity for an integrative analytical approach, reinforcing the robust nature of cosmetic formulation analysis. The detailed examination herein provides a foundational understanding pivotal for further formulation optimization and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