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Laboratory Report ID:Report_1684Experiment Title:Characterization of Diverse Oil and Wax Mixtures</w:t>
      </w:r>
    </w:p>
    <w:p>
      <w:r>
        <w:t>Introduction</w:t>
      </w:r>
    </w:p>
    <w:p>
      <w:r>
        <w:t>The objective of this lab report is to document the analysis of various mixtures using different analytical instruments. Each test sample, comprising unique combinations of oils, waxes, and additional components, was subjected to a series of measurements in order to determine properties such as optical density, light absorption, molecular vibrations, acidity, mass spectrum profiles, and viscosity.</w:t>
      </w:r>
    </w:p>
    <w:p>
      <w:r>
        <w:t>A variety of instruments were employed, each offering distinct insights into the physical and chemical characteristics of the mixtures. While each section focuses on specific analytical methods and data, some irrelevant information may be interspersed to simulate real-world complexity.</w:t>
      </w:r>
    </w:p>
    <w:p>
      <w:r>
        <w:t>Materials and Methods</w:t>
      </w:r>
    </w:p>
    <w:p>
      <w:r>
        <w:t>The following mixtures were prepared and analyzed:</w:t>
      </w:r>
    </w:p>
    <w:p>
      <w:r>
        <w:t>It is important to note the random inclusion of Cetyl Alcohol as Cetyl-20 without any scientific basis in some mixtures.</w:t>
      </w:r>
    </w:p>
    <w:p>
      <w:r>
        <w:t>Instruments Utilized &amp; Parameters</w:t>
      </w:r>
    </w:p>
    <w:p>
      <w:r>
        <w:t>Large segment of laboratory notes were unrecoverable due to temporary catastrophic software dysfunction.</w:t>
      </w:r>
    </w:p>
    <w:p>
      <w:r>
        <w:t>Results</w:t>
      </w:r>
    </w:p>
    <w:p>
      <w:r>
        <w:t>Below are the observations and results, somewhat dispersed but nonetheless comprehensive.</w:t>
      </w:r>
    </w:p>
    <w:p>
      <w:r>
        <w:t>Table 1: Optical Density and Absorption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Sample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Beeswax</w:t>
            </w:r>
          </w:p>
        </w:tc>
        <w:tc>
          <w:tcPr>
            <w:tcW w:type="dxa" w:w="2160"/>
          </w:tcPr>
          <w:p>
            <w:pPr>
              <w:jc w:val="center"/>
            </w:pPr>
            <w:r>
              <w:t>Microplate Reader (MRX)</w:t>
            </w:r>
          </w:p>
        </w:tc>
        <w:tc>
          <w:tcPr>
            <w:tcW w:type="dxa" w:w="2160"/>
          </w:tcPr>
          <w:p>
            <w:pPr>
              <w:jc w:val="center"/>
            </w:pPr>
            <w:r>
              <w:t>1.25</w:t>
            </w:r>
          </w:p>
        </w:tc>
        <w:tc>
          <w:tcPr>
            <w:tcW w:type="dxa" w:w="2160"/>
          </w:tcPr>
          <w:p>
            <w:pPr>
              <w:jc w:val="center"/>
            </w:pPr>
            <w:r>
              <w:t>OD</w:t>
            </w:r>
          </w:p>
        </w:tc>
      </w:tr>
      <w:tr>
        <w:tc>
          <w:tcPr>
            <w:tcW w:type="dxa" w:w="2160"/>
          </w:tcPr>
          <w:p>
            <w:pPr>
              <w:jc w:val="center"/>
            </w:pPr>
            <w:r>
              <w:t>Jojoba Oil, Gum</w:t>
            </w:r>
          </w:p>
        </w:tc>
        <w:tc>
          <w:tcPr>
            <w:tcW w:type="dxa" w:w="2160"/>
          </w:tcPr>
          <w:p>
            <w:pPr>
              <w:jc w:val="center"/>
            </w:pPr>
            <w:r>
              <w:t>Microplate Reader (MRX)</w:t>
            </w:r>
          </w:p>
        </w:tc>
        <w:tc>
          <w:tcPr>
            <w:tcW w:type="dxa" w:w="2160"/>
          </w:tcPr>
          <w:p>
            <w:pPr>
              <w:jc w:val="center"/>
            </w:pPr>
            <w:r>
              <w:t>2.7</w:t>
            </w:r>
          </w:p>
        </w:tc>
        <w:tc>
          <w:tcPr>
            <w:tcW w:type="dxa" w:w="2160"/>
          </w:tcPr>
          <w:p>
            <w:pPr>
              <w:jc w:val="center"/>
            </w:pPr>
            <w:r>
              <w:t>OD</w:t>
            </w:r>
          </w:p>
        </w:tc>
      </w:tr>
      <w:tr>
        <w:tc>
          <w:tcPr>
            <w:tcW w:type="dxa" w:w="2160"/>
          </w:tcPr>
          <w:p>
            <w:pPr>
              <w:jc w:val="center"/>
            </w:pPr>
            <w:r>
              <w:t>Almond Oil</w:t>
            </w:r>
          </w:p>
        </w:tc>
        <w:tc>
          <w:tcPr>
            <w:tcW w:type="dxa" w:w="2160"/>
          </w:tcPr>
          <w:p>
            <w:pPr>
              <w:jc w:val="center"/>
            </w:pPr>
            <w:r>
              <w:t>Spectrometer (Alpha-300)</w:t>
            </w:r>
          </w:p>
        </w:tc>
        <w:tc>
          <w:tcPr>
            <w:tcW w:type="dxa" w:w="2160"/>
          </w:tcPr>
          <w:p>
            <w:pPr>
              <w:jc w:val="center"/>
            </w:pPr>
            <w:r>
              <w:t>450.0</w:t>
            </w:r>
          </w:p>
        </w:tc>
        <w:tc>
          <w:tcPr>
            <w:tcW w:type="dxa" w:w="2160"/>
          </w:tcPr>
          <w:p>
            <w:pPr>
              <w:jc w:val="center"/>
            </w:pPr>
            <w:r>
              <w:t>nm</w:t>
            </w:r>
          </w:p>
        </w:tc>
      </w:tr>
      <w:tr>
        <w:tc>
          <w:tcPr>
            <w:tcW w:type="dxa" w:w="2160"/>
          </w:tcPr>
          <w:p>
            <w:pPr>
              <w:jc w:val="center"/>
            </w:pPr>
            <w:r>
              <w:t>Jojoba Oil, Cetyl Alcohol, Glycerin</w:t>
            </w:r>
          </w:p>
        </w:tc>
        <w:tc>
          <w:tcPr>
            <w:tcW w:type="dxa" w:w="2160"/>
          </w:tcPr>
          <w:p>
            <w:pPr>
              <w:jc w:val="center"/>
            </w:pPr>
            <w:r>
              <w:t>Spectrometer (Alpha-300)</w:t>
            </w:r>
          </w:p>
        </w:tc>
        <w:tc>
          <w:tcPr>
            <w:tcW w:type="dxa" w:w="2160"/>
          </w:tcPr>
          <w:p>
            <w:pPr>
              <w:jc w:val="center"/>
            </w:pPr>
            <w:r>
              <w:t>900.0</w:t>
            </w:r>
          </w:p>
        </w:tc>
        <w:tc>
          <w:tcPr>
            <w:tcW w:type="dxa" w:w="2160"/>
          </w:tcPr>
          <w:p>
            <w:pPr>
              <w:jc w:val="center"/>
            </w:pPr>
            <w:r>
              <w:t>nm</w:t>
            </w:r>
          </w:p>
        </w:tc>
      </w:tr>
    </w:tbl>
    <w:p>
      <w:r>
        <w:t>Observations on Molecular Vibration and pH</w:t>
      </w:r>
    </w:p>
    <w:p>
      <w:r>
        <w:t>The matrix analysis was clouded by the pH buffer images overlapping. However, the FTIR Spectrometer revealed critical data points:</w:t>
      </w:r>
    </w:p>
    <w:p>
      <w:r>
        <w:t>FTIR Spectral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Test Sample</w:t>
            </w:r>
          </w:p>
        </w:tc>
        <w:tc>
          <w:tcPr>
            <w:tcW w:type="dxa" w:w="2880"/>
          </w:tcPr>
          <w:p>
            <w:pPr>
              <w:jc w:val="center"/>
            </w:pPr>
            <w:r>
              <w:rPr>
                <w:b/>
              </w:rPr>
              <w:t>Wavenumber</w:t>
            </w:r>
          </w:p>
        </w:tc>
        <w:tc>
          <w:tcPr>
            <w:tcW w:type="dxa" w:w="2880"/>
          </w:tcPr>
          <w:p>
            <w:pPr>
              <w:jc w:val="center"/>
            </w:pPr>
            <w:r>
              <w:rPr>
                <w:b/>
              </w:rPr>
              <w:t>Unit</w:t>
            </w:r>
          </w:p>
        </w:tc>
      </w:tr>
      <w:tr>
        <w:tc>
          <w:tcPr>
            <w:tcW w:type="dxa" w:w="2880"/>
          </w:tcPr>
          <w:p>
            <w:pPr>
              <w:jc w:val="center"/>
            </w:pPr>
            <w:r>
              <w:t>Coconut Oil, Beeswax, Glycerin</w:t>
            </w:r>
          </w:p>
        </w:tc>
        <w:tc>
          <w:tcPr>
            <w:tcW w:type="dxa" w:w="2880"/>
          </w:tcPr>
          <w:p>
            <w:pPr>
              <w:jc w:val="center"/>
            </w:pPr>
            <w:r>
              <w:t>1750</w:t>
            </w:r>
          </w:p>
        </w:tc>
        <w:tc>
          <w:tcPr>
            <w:tcW w:type="dxa" w:w="2880"/>
          </w:tcPr>
          <w:p>
            <w:pPr>
              <w:jc w:val="center"/>
            </w:pPr>
            <w:r>
              <w:t>1/cm</w:t>
            </w:r>
          </w:p>
        </w:tc>
      </w:tr>
    </w:tbl>
    <w:p>
      <w:r>
        <w:t>pH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Sample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Cetyl Alcohol</w:t>
            </w:r>
          </w:p>
        </w:tc>
        <w:tc>
          <w:tcPr>
            <w:tcW w:type="dxa" w:w="2160"/>
          </w:tcPr>
          <w:p>
            <w:pPr>
              <w:jc w:val="center"/>
            </w:pPr>
            <w:r>
              <w:t>pH Meter (PH-700)</w:t>
            </w:r>
          </w:p>
        </w:tc>
        <w:tc>
          <w:tcPr>
            <w:tcW w:type="dxa" w:w="2160"/>
          </w:tcPr>
          <w:p>
            <w:pPr>
              <w:jc w:val="center"/>
            </w:pPr>
            <w:r>
              <w:t>7.4</w:t>
            </w:r>
          </w:p>
        </w:tc>
        <w:tc>
          <w:tcPr>
            <w:tcW w:type="dxa" w:w="2160"/>
          </w:tcPr>
          <w:p>
            <w:pPr>
              <w:jc w:val="center"/>
            </w:pPr>
            <w:r>
              <w:t>pH</w:t>
            </w:r>
          </w:p>
        </w:tc>
      </w:tr>
    </w:tbl>
    <w:p>
      <w:r>
        <w:t>Table 2: Mass Spectrum and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Sample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Beeswax, Vitamin E</w:t>
            </w:r>
          </w:p>
        </w:tc>
        <w:tc>
          <w:tcPr>
            <w:tcW w:type="dxa" w:w="2160"/>
          </w:tcPr>
          <w:p>
            <w:pPr>
              <w:jc w:val="center"/>
            </w:pPr>
            <w:r>
              <w:t>Mass Spectrometer (MS-20)</w:t>
            </w:r>
          </w:p>
        </w:tc>
        <w:tc>
          <w:tcPr>
            <w:tcW w:type="dxa" w:w="2160"/>
          </w:tcPr>
          <w:p>
            <w:pPr>
              <w:jc w:val="center"/>
            </w:pPr>
            <w:r>
              <w:t>500.0</w:t>
            </w:r>
          </w:p>
        </w:tc>
        <w:tc>
          <w:tcPr>
            <w:tcW w:type="dxa" w:w="2160"/>
          </w:tcPr>
          <w:p>
            <w:pPr>
              <w:jc w:val="center"/>
            </w:pPr>
            <w:r>
              <w:t>m/z</w:t>
            </w:r>
          </w:p>
        </w:tc>
      </w:tr>
      <w:tr>
        <w:tc>
          <w:tcPr>
            <w:tcW w:type="dxa" w:w="2160"/>
          </w:tcPr>
          <w:p>
            <w:pPr>
              <w:jc w:val="center"/>
            </w:pPr>
            <w:r>
              <w:t>Jojoba Oil, Gum</w:t>
            </w:r>
          </w:p>
        </w:tc>
        <w:tc>
          <w:tcPr>
            <w:tcW w:type="dxa" w:w="2160"/>
          </w:tcPr>
          <w:p>
            <w:pPr>
              <w:jc w:val="center"/>
            </w:pPr>
            <w:r>
              <w:t>Viscometer (VS-300)</w:t>
            </w:r>
          </w:p>
        </w:tc>
        <w:tc>
          <w:tcPr>
            <w:tcW w:type="dxa" w:w="2160"/>
          </w:tcPr>
          <w:p>
            <w:pPr>
              <w:jc w:val="center"/>
            </w:pPr>
            <w:r>
              <w:t>2001.07</w:t>
            </w:r>
          </w:p>
        </w:tc>
        <w:tc>
          <w:tcPr>
            <w:tcW w:type="dxa" w:w="2160"/>
          </w:tcPr>
          <w:p>
            <w:pPr>
              <w:jc w:val="center"/>
            </w:pPr>
            <w:r>
              <w:t>cP</w:t>
            </w:r>
          </w:p>
        </w:tc>
      </w:tr>
      <w:tr>
        <w:tc>
          <w:tcPr>
            <w:tcW w:type="dxa" w:w="2160"/>
          </w:tcPr>
          <w:p>
            <w:pPr>
              <w:jc w:val="center"/>
            </w:pPr>
            <w:r>
              <w:t>Almond Oil, Vitamin E</w:t>
            </w:r>
          </w:p>
        </w:tc>
        <w:tc>
          <w:tcPr>
            <w:tcW w:type="dxa" w:w="2160"/>
          </w:tcPr>
          <w:p>
            <w:pPr>
              <w:jc w:val="center"/>
            </w:pPr>
            <w:r>
              <w:t>Viscometer (VS-300)</w:t>
            </w:r>
          </w:p>
        </w:tc>
        <w:tc>
          <w:tcPr>
            <w:tcW w:type="dxa" w:w="2160"/>
          </w:tcPr>
          <w:p>
            <w:pPr>
              <w:jc w:val="center"/>
            </w:pPr>
            <w:r>
              <w:t>7464.26</w:t>
            </w:r>
          </w:p>
        </w:tc>
        <w:tc>
          <w:tcPr>
            <w:tcW w:type="dxa" w:w="2160"/>
          </w:tcPr>
          <w:p>
            <w:pPr>
              <w:jc w:val="center"/>
            </w:pPr>
            <w:r>
              <w:t>cP</w:t>
            </w:r>
          </w:p>
        </w:tc>
      </w:tr>
    </w:tbl>
    <w:p>
      <w:r>
        <w:t>Note:The almond oil mixture appeared denser and more potent under viscosity metrics than anticipated.</w:t>
      </w:r>
    </w:p>
    <w:p>
      <w:r>
        <w:t>Discussion</w:t>
      </w:r>
    </w:p>
    <w:p>
      <w:r>
        <w:t>By evaluating these diverse samples across a range of analytical technologies, this study provides insights into the varying physical and chemical characteristics inherent to oil and wax mixtures. The challenge in data interpretation lies in the juxtaposition of fickle machine readouts, spurious spectral peaks, and the unpredictability of such complex mixtures.</w:t>
      </w:r>
    </w:p>
    <w:p>
      <w:r>
        <w:t>To conclude, the seemingly disparate observations contribute uniformly towards understanding mixture characteristics. Yet, the sporadic presence of irrelevant data serves as an icon to the non-trivial nature of real experimental analysis.</w:t>
      </w:r>
    </w:p>
    <w:p>
      <w:r>
        <w:t>Conclusion</w:t>
      </w:r>
    </w:p>
    <w:p>
      <w:r>
        <w:t>The findings corroborate the presence of significant variances in properties ranging from optical behavior to molecular structure and pH levels. Each unique combination highlights specific interactions valuable for practical applications in material science and cosmetic formulations. The scattered irrelevant data and complexity within the report challenge erroneous automation attempts, maintaining the integrity of nuanced scientific communication.</w:t>
      </w:r>
    </w:p>
    <w:p>
      <w:r>
        <w:t>Further studies could eliminate the challenges posed by temporary software failures and random data points to enhance precision and data richness.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