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Oil Mixtures</w:t>
      </w:r>
    </w:p>
    <w:p>
      <w:r>
        <w:t>Report ID:1735Date:[Insert Date]Lab Supervisor:[Insert Name]</w:t>
      </w:r>
    </w:p>
    <w:p>
      <w:r>
        <w:t>Abstract</w:t>
      </w:r>
    </w:p>
    <w:p>
      <w:r>
        <w:t>The objective of this analysis was to investigate the physicochemical properties of various oil mixtures commonly used in cosmetic formulations. Multiple sophisticated analytical techniques were employed to obtain comprehensive data on rheological, chemical, and physical characteristics. Testing apparatuses such as Rheometer R-4500, Viscometer VS-300, and HPLC System HPLC-9000 were utilized to generate precise measurements of viscosity, concentration, and structural integrity. These results provide essential insights into potential formulation optimizations for enhanced stability and performance.</w:t>
      </w:r>
    </w:p>
    <w:p>
      <w:r>
        <w:t>Methodology and Analytical Techniques</w:t>
      </w:r>
    </w:p>
    <w:p>
      <w:r>
        <w:t>Rheometry and Viscometry:-Equipment:Rheometer R-4500 &amp; Viscometer VS-300-Samples:Jojoba Oil with Gum and Glycerin, Coconut Oil with Vitamin E-Conditions:Room temperature viscosity was gauged under controlled shear rates. Jojoba-Gum-Glycerin showed a viscosity of 524.7 Pa-s, while the Viscometer readings indicated 4916.69 cP for Coconut-Vitamin E.</w:t>
      </w:r>
    </w:p>
    <w:p>
      <w:r>
        <w:t>Chemical Titration and Chromatography:-Titration:Undertaken with Titrator T-905, the almond oil-cetyl alcohol-glycerin mixture was examined, resulting in a concentration of 5.12 M.</w:t>
        <w:br/>
        <w:t>-Ion Chromatography:The analysis of almond oil combined with cetyl alcohol and vitamin E yielded a measurement of 45.3 mM. Concurrently, the Gas Chromatograph GC-2010 exhibited a concentration of 456.3 ppm for this composition.</w:t>
      </w:r>
    </w:p>
    <w:p>
      <w:r>
        <w:t>Thermal and Structural Analysis:-Thermocycler and X-Ray Diffraction:The TC-5000 helped ascertain the thermal stability of coconut oil mixed with gum and vitamin E, identifying a melting point of 68°C, whereas the X-ray analyses revealed a stability temperature of 120°C for jojoba oil-based samples.</w:t>
      </w:r>
    </w:p>
    <w:p>
      <w:r>
        <w:t>Observations and Results</w:t>
      </w:r>
    </w:p>
    <w:p>
      <w:r>
        <w:t>The multilayered composition within each mixture introduced a spectrum of interactions ranging from simple dissolution to complex structural phenomena. Attributes such as viscosity were influenced significantly by the presence of gum elements, showcasing pronounced thickening effects.</w:t>
      </w:r>
    </w:p>
    <w:p>
      <w:r>
        <w:t>Experimental Data</w:t>
      </w:r>
    </w:p>
    <w:p>
      <w:r>
        <w:t>Table 1: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Jojoba Oil, Gum, Glycerin</w:t>
            </w:r>
          </w:p>
        </w:tc>
        <w:tc>
          <w:tcPr>
            <w:tcW w:type="dxa" w:w="2160"/>
          </w:tcPr>
          <w:p>
            <w:pPr>
              <w:jc w:val="center"/>
            </w:pPr>
            <w:r>
              <w:t>524.7</w:t>
            </w:r>
          </w:p>
        </w:tc>
        <w:tc>
          <w:tcPr>
            <w:tcW w:type="dxa" w:w="2160"/>
          </w:tcPr>
          <w:p>
            <w:pPr>
              <w:jc w:val="center"/>
            </w:pPr>
            <w:r>
              <w:t>Pa-s</w:t>
            </w:r>
          </w:p>
        </w:tc>
      </w:tr>
      <w:tr>
        <w:tc>
          <w:tcPr>
            <w:tcW w:type="dxa" w:w="2160"/>
          </w:tcPr>
          <w:p>
            <w:pPr>
              <w:jc w:val="center"/>
            </w:pPr>
            <w:r>
              <w:t>Viscometer VS-300</w:t>
            </w:r>
          </w:p>
        </w:tc>
        <w:tc>
          <w:tcPr>
            <w:tcW w:type="dxa" w:w="2160"/>
          </w:tcPr>
          <w:p>
            <w:pPr>
              <w:jc w:val="center"/>
            </w:pPr>
            <w:r>
              <w:t>Coconut Oil, Vitamin E</w:t>
            </w:r>
          </w:p>
        </w:tc>
        <w:tc>
          <w:tcPr>
            <w:tcW w:type="dxa" w:w="2160"/>
          </w:tcPr>
          <w:p>
            <w:pPr>
              <w:jc w:val="center"/>
            </w:pPr>
            <w:r>
              <w:t>4916.69</w:t>
            </w:r>
          </w:p>
        </w:tc>
        <w:tc>
          <w:tcPr>
            <w:tcW w:type="dxa" w:w="2160"/>
          </w:tcPr>
          <w:p>
            <w:pPr>
              <w:jc w:val="center"/>
            </w:pPr>
            <w:r>
              <w:t>cP</w:t>
            </w:r>
          </w:p>
        </w:tc>
      </w:tr>
    </w:tbl>
    <w:p>
      <w:r>
        <w:t>Table 2: Concentration and Purity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Almond Oil, Cetyl Alcohol, Glycerin</w:t>
            </w:r>
          </w:p>
        </w:tc>
        <w:tc>
          <w:tcPr>
            <w:tcW w:type="dxa" w:w="2160"/>
          </w:tcPr>
          <w:p>
            <w:pPr>
              <w:jc w:val="center"/>
            </w:pPr>
            <w:r>
              <w:t>5.12</w:t>
            </w:r>
          </w:p>
        </w:tc>
        <w:tc>
          <w:tcPr>
            <w:tcW w:type="dxa" w:w="2160"/>
          </w:tcPr>
          <w:p>
            <w:pPr>
              <w:jc w:val="center"/>
            </w:pPr>
            <w:r>
              <w:t>M</w:t>
            </w:r>
          </w:p>
        </w:tc>
      </w:tr>
      <w:tr>
        <w:tc>
          <w:tcPr>
            <w:tcW w:type="dxa" w:w="2160"/>
          </w:tcPr>
          <w:p>
            <w:pPr>
              <w:jc w:val="center"/>
            </w:pPr>
            <w:r>
              <w:t>Ion Chromatograph IC-2100</w:t>
            </w:r>
          </w:p>
        </w:tc>
        <w:tc>
          <w:tcPr>
            <w:tcW w:type="dxa" w:w="2160"/>
          </w:tcPr>
          <w:p>
            <w:pPr>
              <w:jc w:val="center"/>
            </w:pPr>
            <w:r>
              <w:t>Almond Oil, Cetyl Alcohol, Vitamin E</w:t>
            </w:r>
          </w:p>
        </w:tc>
        <w:tc>
          <w:tcPr>
            <w:tcW w:type="dxa" w:w="2160"/>
          </w:tcPr>
          <w:p>
            <w:pPr>
              <w:jc w:val="center"/>
            </w:pPr>
            <w:r>
              <w:t>45.3</w:t>
            </w:r>
          </w:p>
        </w:tc>
        <w:tc>
          <w:tcPr>
            <w:tcW w:type="dxa" w:w="2160"/>
          </w:tcPr>
          <w:p>
            <w:pPr>
              <w:jc w:val="center"/>
            </w:pPr>
            <w:r>
              <w:t>mM</w:t>
            </w:r>
          </w:p>
        </w:tc>
      </w:tr>
      <w:tr>
        <w:tc>
          <w:tcPr>
            <w:tcW w:type="dxa" w:w="2160"/>
          </w:tcPr>
          <w:p>
            <w:pPr>
              <w:jc w:val="center"/>
            </w:pPr>
            <w:r>
              <w:t>Gas Chromatograph GC-2010</w:t>
            </w:r>
          </w:p>
        </w:tc>
        <w:tc>
          <w:tcPr>
            <w:tcW w:type="dxa" w:w="2160"/>
          </w:tcPr>
          <w:p>
            <w:pPr>
              <w:jc w:val="center"/>
            </w:pPr>
            <w:r>
              <w:t>Almond Oil, Cetyl Alcohol, Vitamin E</w:t>
            </w:r>
          </w:p>
        </w:tc>
        <w:tc>
          <w:tcPr>
            <w:tcW w:type="dxa" w:w="2160"/>
          </w:tcPr>
          <w:p>
            <w:pPr>
              <w:jc w:val="center"/>
            </w:pPr>
            <w:r>
              <w:t>456.3</w:t>
            </w:r>
          </w:p>
        </w:tc>
        <w:tc>
          <w:tcPr>
            <w:tcW w:type="dxa" w:w="2160"/>
          </w:tcPr>
          <w:p>
            <w:pPr>
              <w:jc w:val="center"/>
            </w:pPr>
            <w:r>
              <w:t>ppm</w:t>
            </w:r>
          </w:p>
        </w:tc>
      </w:tr>
    </w:tbl>
    <w:p>
      <w:r>
        <w:t>Complex Interaction Narratives</w:t>
      </w:r>
    </w:p>
    <w:p>
      <w:r>
        <w:t>The cetyl alcohol integrated within these systems contributed notably to non-Newtonian behavior, emphasizing shear-thinning properties under high shear conditions, as seen in almond oil-based formulations. Meanwhile, thermal cycling processes revealed apparent enthalpic shifts, particularly in the coconut-vitamins matrix.</w:t>
      </w:r>
    </w:p>
    <w:p>
      <w:r>
        <w:t>Unrelated Details</w:t>
      </w:r>
    </w:p>
    <w:p>
      <w:r>
        <w:t>Laboratory personnel followed an unexpected observation protocol, where ambient environmental fluctuations were noted to coincide with unexpected data discrepancies. Anomalies were documented, particularly in randomized data sets (e.g., coconut-beeswax-pH interferences) which were observed to stabilize only after recalibration of instruments.</w:t>
      </w:r>
    </w:p>
    <w:p>
      <w:r>
        <w:t>Conclusion</w:t>
      </w:r>
    </w:p>
    <w:p>
      <w:r>
        <w:t>Comprehensive analysis through quantitative and qualitative measures underpins these findings. Each oil mixture exhibited unique interfacial compatibilities forecasting their stability in proposed cosmetic applications. Further exploration into modifying agents could unlock additional performance benefits. Swift transitions in phase behavior and constituent responsivity were also noted, highlighting the intricacies innate in multicomponent systems.</w:t>
      </w:r>
    </w:p>
    <w:p>
      <w:r>
        <w:t>Appendices</w:t>
      </w:r>
    </w:p>
    <w:p>
      <w:r>
        <w:t>Table 3: pH and Other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 Meter PH-700</w:t>
            </w:r>
          </w:p>
        </w:tc>
        <w:tc>
          <w:tcPr>
            <w:tcW w:type="dxa" w:w="2160"/>
          </w:tcPr>
          <w:p>
            <w:pPr>
              <w:jc w:val="center"/>
            </w:pPr>
            <w:r>
              <w:t>Coconut Oil, Beeswax, Vitamin E</w:t>
            </w:r>
          </w:p>
        </w:tc>
        <w:tc>
          <w:tcPr>
            <w:tcW w:type="dxa" w:w="2160"/>
          </w:tcPr>
          <w:p>
            <w:pPr>
              <w:jc w:val="center"/>
            </w:pPr>
            <w:r>
              <w:t>7.4</w:t>
            </w:r>
          </w:p>
        </w:tc>
        <w:tc>
          <w:tcPr>
            <w:tcW w:type="dxa" w:w="2160"/>
          </w:tcPr>
          <w:p>
            <w:pPr>
              <w:jc w:val="center"/>
            </w:pPr>
            <w:r>
              <w:t>pH</w:t>
            </w:r>
          </w:p>
        </w:tc>
      </w:tr>
      <w:tr>
        <w:tc>
          <w:tcPr>
            <w:tcW w:type="dxa" w:w="2160"/>
          </w:tcPr>
          <w:p>
            <w:pPr>
              <w:jc w:val="center"/>
            </w:pPr>
            <w:r>
              <w:t>Four Ball FB-1000</w:t>
            </w:r>
          </w:p>
        </w:tc>
        <w:tc>
          <w:tcPr>
            <w:tcW w:type="dxa" w:w="2160"/>
          </w:tcPr>
          <w:p>
            <w:pPr>
              <w:jc w:val="center"/>
            </w:pPr>
            <w:r>
              <w:t>Almond Oil, Cetyl Alcohol, Glycerin</w:t>
            </w:r>
          </w:p>
        </w:tc>
        <w:tc>
          <w:tcPr>
            <w:tcW w:type="dxa" w:w="2160"/>
          </w:tcPr>
          <w:p>
            <w:pPr>
              <w:jc w:val="center"/>
            </w:pPr>
            <w:r>
              <w:t>0.75</w:t>
            </w:r>
          </w:p>
        </w:tc>
        <w:tc>
          <w:tcPr>
            <w:tcW w:type="dxa" w:w="2160"/>
          </w:tcPr>
          <w:p>
            <w:pPr>
              <w:jc w:val="center"/>
            </w:pPr>
            <w:r>
              <w:t>mm</w:t>
            </w:r>
          </w:p>
        </w:tc>
      </w:tr>
      <w:tr>
        <w:tc>
          <w:tcPr>
            <w:tcW w:type="dxa" w:w="2160"/>
          </w:tcPr>
          <w:p>
            <w:pPr>
              <w:jc w:val="center"/>
            </w:pPr>
            <w:r>
              <w:t>PCR Machine PCR-96</w:t>
            </w:r>
          </w:p>
        </w:tc>
        <w:tc>
          <w:tcPr>
            <w:tcW w:type="dxa" w:w="2160"/>
          </w:tcPr>
          <w:p>
            <w:pPr>
              <w:jc w:val="center"/>
            </w:pPr>
            <w:r>
              <w:t>Coconut Oil, Gum, Vitamin E</w:t>
            </w:r>
          </w:p>
        </w:tc>
        <w:tc>
          <w:tcPr>
            <w:tcW w:type="dxa" w:w="2160"/>
          </w:tcPr>
          <w:p>
            <w:pPr>
              <w:jc w:val="center"/>
            </w:pPr>
            <w:r>
              <w:t>28.0</w:t>
            </w:r>
          </w:p>
        </w:tc>
        <w:tc>
          <w:tcPr>
            <w:tcW w:type="dxa" w:w="2160"/>
          </w:tcPr>
          <w:p>
            <w:pPr>
              <w:jc w:val="center"/>
            </w:pPr>
            <w:r>
              <w:t>Ct</w:t>
            </w:r>
          </w:p>
        </w:tc>
      </w:tr>
    </w:tbl>
    <w:p>
      <w:r>
        <w:t>Additional unrelated discussions included potential impacts of lunar cycles on data fidelity and user anecdotes on instrument handling peculiarities.</w:t>
      </w:r>
    </w:p>
    <w:p>
      <w:r>
        <w:t>References</w:t>
      </w:r>
    </w:p>
    <w:p>
      <w:r>
        <w:t>The endnotes explored deviations in mixed data analyses, demanding further exploration of compound-specific interactions within cosmetic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