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Number:1774Date:[Insert Date]Prepared by:[Insert Name]</w:t>
      </w:r>
    </w:p>
    <w:p>
      <w:r>
        <w:t>Introduction</w:t>
      </w:r>
    </w:p>
    <w:p>
      <w:r>
        <w:t>In this report, we analyze different oil mixtures using advanced laboratory instruments to evaluate their physicochemical properties and compositions. Each mixture was prepared using specific ingredients and subjected to multiple testing methods with varying degrees of complexity. Our focus lies in understanding how different components interact within each sample and determining specific characteristics like molecular weight, pH, and absorption spectra.</w:t>
      </w:r>
    </w:p>
    <w:p>
      <w:r>
        <w:t>Methods and Measurements</w:t>
      </w:r>
    </w:p>
    <w:p>
      <w:r>
        <w:t>Equipment and Sample Composition</w:t>
      </w:r>
    </w:p>
    <w:p>
      <w:r>
        <w:t>Numerous sophisticated devices were utilized, each targeting distinct properties. The core ingredients in each mixture were carefully chosen based on their physicochemical properties and are as follows:</w:t>
      </w:r>
    </w:p>
    <w:p>
      <w:r>
        <w:t>Testing Results and Observations</w:t>
      </w:r>
    </w:p>
    <w:p>
      <w:r>
        <w:t>Four Ball Test</w:t>
      </w:r>
    </w:p>
    <w:p>
      <w:r>
        <w:t>Instrument:Four Ball FB-1000Sample A, primarily composed of Coconut Oil and Cetyl Alcohol, displayed a noteworthy wear scar diameter measurement: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Measurement (mm)</w:t>
            </w:r>
          </w:p>
        </w:tc>
        <w:tc>
          <w:tcPr>
            <w:tcW w:type="dxa" w:w="2880"/>
          </w:tcPr>
          <w:p>
            <w:pPr>
              <w:jc w:val="center"/>
            </w:pPr>
            <w:r>
              <w:rPr>
                <w:b/>
              </w:rPr>
              <w:t>Observations</w:t>
            </w:r>
          </w:p>
        </w:tc>
      </w:tr>
      <w:tr>
        <w:tc>
          <w:tcPr>
            <w:tcW w:type="dxa" w:w="2880"/>
          </w:tcPr>
          <w:p>
            <w:pPr>
              <w:jc w:val="center"/>
            </w:pPr>
            <w:r>
              <w:t>A</w:t>
            </w:r>
          </w:p>
        </w:tc>
        <w:tc>
          <w:tcPr>
            <w:tcW w:type="dxa" w:w="2880"/>
          </w:tcPr>
          <w:p>
            <w:pPr>
              <w:jc w:val="center"/>
            </w:pPr>
            <w:r>
              <w:t>0.845</w:t>
            </w:r>
          </w:p>
        </w:tc>
        <w:tc>
          <w:tcPr>
            <w:tcW w:type="dxa" w:w="2880"/>
          </w:tcPr>
          <w:p>
            <w:pPr>
              <w:jc w:val="center"/>
            </w:pPr>
            <w:r>
              <w:t>Minimal wear observed under load</w:t>
            </w:r>
          </w:p>
        </w:tc>
      </w:tr>
    </w:tbl>
    <w:p>
      <w:r>
        <w:t>The combination of the lubricating properties of Coconut Oil and the fatty nature of Cetyl Alcohol reduced friction effectively.</w:t>
      </w:r>
    </w:p>
    <w:p>
      <w:r>
        <w:t>pH Analysis</w:t>
      </w:r>
    </w:p>
    <w:p>
      <w:r>
        <w:t>Instrument:pH Meter PH-700Sample B, Almond Oil with Beeswax, was evaluated, with the following pH:</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pH Measurement</w:t>
            </w:r>
          </w:p>
        </w:tc>
        <w:tc>
          <w:tcPr>
            <w:tcW w:type="dxa" w:w="2880"/>
          </w:tcPr>
          <w:p>
            <w:pPr>
              <w:jc w:val="center"/>
            </w:pPr>
            <w:r>
              <w:rPr>
                <w:b/>
              </w:rPr>
              <w:t>Observations</w:t>
            </w:r>
          </w:p>
        </w:tc>
      </w:tr>
      <w:tr>
        <w:tc>
          <w:tcPr>
            <w:tcW w:type="dxa" w:w="2880"/>
          </w:tcPr>
          <w:p>
            <w:pPr>
              <w:jc w:val="center"/>
            </w:pPr>
            <w:r>
              <w:t>B</w:t>
            </w:r>
          </w:p>
        </w:tc>
        <w:tc>
          <w:tcPr>
            <w:tcW w:type="dxa" w:w="2880"/>
          </w:tcPr>
          <w:p>
            <w:pPr>
              <w:jc w:val="center"/>
            </w:pPr>
            <w:r>
              <w:t>8.23</w:t>
            </w:r>
          </w:p>
        </w:tc>
        <w:tc>
          <w:tcPr>
            <w:tcW w:type="dxa" w:w="2880"/>
          </w:tcPr>
          <w:p>
            <w:pPr>
              <w:jc w:val="center"/>
            </w:pPr>
            <w:r>
              <w:t>Slightly alkaline; stable mix</w:t>
            </w:r>
          </w:p>
        </w:tc>
      </w:tr>
    </w:tbl>
    <w:p>
      <w:r>
        <w:t>Spectroscopic Analysis</w:t>
      </w:r>
    </w:p>
    <w:p>
      <w:r>
        <w:t>Instrument:Spectrometer Alpha-300Sample C's absorption peak:</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Wavelength (nm)</w:t>
            </w:r>
          </w:p>
        </w:tc>
        <w:tc>
          <w:tcPr>
            <w:tcW w:type="dxa" w:w="2880"/>
          </w:tcPr>
          <w:p>
            <w:pPr>
              <w:jc w:val="center"/>
            </w:pPr>
            <w:r>
              <w:rPr>
                <w:b/>
              </w:rPr>
              <w:t>Observations</w:t>
            </w:r>
          </w:p>
        </w:tc>
      </w:tr>
      <w:tr>
        <w:tc>
          <w:tcPr>
            <w:tcW w:type="dxa" w:w="2880"/>
          </w:tcPr>
          <w:p>
            <w:pPr>
              <w:jc w:val="center"/>
            </w:pPr>
            <w:r>
              <w:t>C</w:t>
            </w:r>
          </w:p>
        </w:tc>
        <w:tc>
          <w:tcPr>
            <w:tcW w:type="dxa" w:w="2880"/>
          </w:tcPr>
          <w:p>
            <w:pPr>
              <w:jc w:val="center"/>
            </w:pPr>
            <w:r>
              <w:t>350</w:t>
            </w:r>
          </w:p>
        </w:tc>
        <w:tc>
          <w:tcPr>
            <w:tcW w:type="dxa" w:w="2880"/>
          </w:tcPr>
          <w:p>
            <w:pPr>
              <w:jc w:val="center"/>
            </w:pPr>
            <w:r>
              <w:t>Strong absorption due to Beeswax</w:t>
            </w:r>
          </w:p>
        </w:tc>
      </w:tr>
    </w:tbl>
    <w:p>
      <w:r>
        <w:t>This strong absorption suggests effective blending with the Beeswax matrix.</w:t>
      </w:r>
    </w:p>
    <w:p>
      <w:r>
        <w:t>Chromatography and Mass Analysis</w:t>
      </w:r>
    </w:p>
    <w:p>
      <w:r>
        <w:t>HPLC System HPLC-9000Sample D’s molecular concentration: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Concentration (mg/L)</w:t>
            </w:r>
          </w:p>
        </w:tc>
        <w:tc>
          <w:tcPr>
            <w:tcW w:type="dxa" w:w="2880"/>
          </w:tcPr>
          <w:p>
            <w:pPr>
              <w:jc w:val="center"/>
            </w:pPr>
            <w:r>
              <w:rPr>
                <w:b/>
              </w:rPr>
              <w:t>Observations</w:t>
            </w:r>
          </w:p>
        </w:tc>
      </w:tr>
      <w:tr>
        <w:tc>
          <w:tcPr>
            <w:tcW w:type="dxa" w:w="2880"/>
          </w:tcPr>
          <w:p>
            <w:pPr>
              <w:jc w:val="center"/>
            </w:pPr>
            <w:r>
              <w:t>D</w:t>
            </w:r>
          </w:p>
        </w:tc>
        <w:tc>
          <w:tcPr>
            <w:tcW w:type="dxa" w:w="2880"/>
          </w:tcPr>
          <w:p>
            <w:pPr>
              <w:jc w:val="center"/>
            </w:pPr>
            <w:r>
              <w:t>0.67</w:t>
            </w:r>
          </w:p>
        </w:tc>
        <w:tc>
          <w:tcPr>
            <w:tcW w:type="dxa" w:w="2880"/>
          </w:tcPr>
          <w:p>
            <w:pPr>
              <w:jc w:val="center"/>
            </w:pPr>
            <w:r>
              <w:t>Clear Jojoba profile detected</w:t>
            </w:r>
          </w:p>
        </w:tc>
      </w:tr>
    </w:tbl>
    <w:p>
      <w:r>
        <w:t>Ion Chromatograph IC-2100Sample E concentration:</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Concentration (mM)</w:t>
            </w:r>
          </w:p>
        </w:tc>
        <w:tc>
          <w:tcPr>
            <w:tcW w:type="dxa" w:w="2880"/>
          </w:tcPr>
          <w:p>
            <w:pPr>
              <w:jc w:val="center"/>
            </w:pPr>
            <w:r>
              <w:rPr>
                <w:b/>
              </w:rPr>
              <w:t>Observations</w:t>
            </w:r>
          </w:p>
        </w:tc>
      </w:tr>
      <w:tr>
        <w:tc>
          <w:tcPr>
            <w:tcW w:type="dxa" w:w="2880"/>
          </w:tcPr>
          <w:p>
            <w:pPr>
              <w:jc w:val="center"/>
            </w:pPr>
            <w:r>
              <w:t>E</w:t>
            </w:r>
          </w:p>
        </w:tc>
        <w:tc>
          <w:tcPr>
            <w:tcW w:type="dxa" w:w="2880"/>
          </w:tcPr>
          <w:p>
            <w:pPr>
              <w:jc w:val="center"/>
            </w:pPr>
            <w:r>
              <w:t>0.025</w:t>
            </w:r>
          </w:p>
        </w:tc>
        <w:tc>
          <w:tcPr>
            <w:tcW w:type="dxa" w:w="2880"/>
          </w:tcPr>
          <w:p>
            <w:pPr>
              <w:jc w:val="center"/>
            </w:pPr>
            <w:r>
              <w:t>Minor ions from Beeswax noted</w:t>
            </w:r>
          </w:p>
        </w:tc>
      </w:tr>
    </w:tbl>
    <w:p>
      <w:r>
        <w:t>NMR Spectrometer NMR-500Sample F:</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Chemical Shift (ppm)</w:t>
            </w:r>
          </w:p>
        </w:tc>
        <w:tc>
          <w:tcPr>
            <w:tcW w:type="dxa" w:w="2880"/>
          </w:tcPr>
          <w:p>
            <w:pPr>
              <w:jc w:val="center"/>
            </w:pPr>
            <w:r>
              <w:rPr>
                <w:b/>
              </w:rPr>
              <w:t>Observations</w:t>
            </w:r>
          </w:p>
        </w:tc>
      </w:tr>
      <w:tr>
        <w:tc>
          <w:tcPr>
            <w:tcW w:type="dxa" w:w="2880"/>
          </w:tcPr>
          <w:p>
            <w:pPr>
              <w:jc w:val="center"/>
            </w:pPr>
            <w:r>
              <w:t>F</w:t>
            </w:r>
          </w:p>
        </w:tc>
        <w:tc>
          <w:tcPr>
            <w:tcW w:type="dxa" w:w="2880"/>
          </w:tcPr>
          <w:p>
            <w:pPr>
              <w:jc w:val="center"/>
            </w:pPr>
            <w:r>
              <w:t>14.6</w:t>
            </w:r>
          </w:p>
        </w:tc>
        <w:tc>
          <w:tcPr>
            <w:tcW w:type="dxa" w:w="2880"/>
          </w:tcPr>
          <w:p>
            <w:pPr>
              <w:jc w:val="center"/>
            </w:pPr>
            <w:r>
              <w:t>Glycerin-rich peaks identified</w:t>
            </w:r>
          </w:p>
        </w:tc>
      </w:tr>
    </w:tbl>
    <w:p>
      <w:r>
        <w:t>Mass Spectrometer MS-20Sample G:</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Mass/Charge (m/z)</w:t>
            </w:r>
          </w:p>
        </w:tc>
        <w:tc>
          <w:tcPr>
            <w:tcW w:type="dxa" w:w="2880"/>
          </w:tcPr>
          <w:p>
            <w:pPr>
              <w:jc w:val="center"/>
            </w:pPr>
            <w:r>
              <w:rPr>
                <w:b/>
              </w:rPr>
              <w:t>Observations</w:t>
            </w:r>
          </w:p>
        </w:tc>
      </w:tr>
      <w:tr>
        <w:tc>
          <w:tcPr>
            <w:tcW w:type="dxa" w:w="2880"/>
          </w:tcPr>
          <w:p>
            <w:pPr>
              <w:jc w:val="center"/>
            </w:pPr>
            <w:r>
              <w:t>G</w:t>
            </w:r>
          </w:p>
        </w:tc>
        <w:tc>
          <w:tcPr>
            <w:tcW w:type="dxa" w:w="2880"/>
          </w:tcPr>
          <w:p>
            <w:pPr>
              <w:jc w:val="center"/>
            </w:pPr>
            <w:r>
              <w:t>150</w:t>
            </w:r>
          </w:p>
        </w:tc>
        <w:tc>
          <w:tcPr>
            <w:tcW w:type="dxa" w:w="2880"/>
          </w:tcPr>
          <w:p>
            <w:pPr>
              <w:jc w:val="center"/>
            </w:pPr>
            <w:r>
              <w:t>Cetyl Alcohol fragmentation detected</w:t>
            </w:r>
          </w:p>
        </w:tc>
      </w:tr>
    </w:tbl>
    <w:p>
      <w:r>
        <w:t>Conductivity Meter CM-215Sample H:</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Conductivity (uS/cm)</w:t>
            </w:r>
          </w:p>
        </w:tc>
        <w:tc>
          <w:tcPr>
            <w:tcW w:type="dxa" w:w="2880"/>
          </w:tcPr>
          <w:p>
            <w:pPr>
              <w:jc w:val="center"/>
            </w:pPr>
            <w:r>
              <w:rPr>
                <w:b/>
              </w:rPr>
              <w:t>Observations</w:t>
            </w:r>
          </w:p>
        </w:tc>
      </w:tr>
      <w:tr>
        <w:tc>
          <w:tcPr>
            <w:tcW w:type="dxa" w:w="2880"/>
          </w:tcPr>
          <w:p>
            <w:pPr>
              <w:jc w:val="center"/>
            </w:pPr>
            <w:r>
              <w:t>H</w:t>
            </w:r>
          </w:p>
        </w:tc>
        <w:tc>
          <w:tcPr>
            <w:tcW w:type="dxa" w:w="2880"/>
          </w:tcPr>
          <w:p>
            <w:pPr>
              <w:jc w:val="center"/>
            </w:pPr>
            <w:r>
              <w:t>700</w:t>
            </w:r>
          </w:p>
        </w:tc>
        <w:tc>
          <w:tcPr>
            <w:tcW w:type="dxa" w:w="2880"/>
          </w:tcPr>
          <w:p>
            <w:pPr>
              <w:jc w:val="center"/>
            </w:pPr>
            <w:r>
              <w:t>Elevated conductivity from Vitamin E</w:t>
            </w:r>
          </w:p>
        </w:tc>
      </w:tr>
    </w:tbl>
    <w:p>
      <w:r>
        <w:t>Gas Chromatograph GC-2010Sample I:</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Concentration (ppm)</w:t>
            </w:r>
          </w:p>
        </w:tc>
        <w:tc>
          <w:tcPr>
            <w:tcW w:type="dxa" w:w="2880"/>
          </w:tcPr>
          <w:p>
            <w:pPr>
              <w:jc w:val="center"/>
            </w:pPr>
            <w:r>
              <w:rPr>
                <w:b/>
              </w:rPr>
              <w:t>Observations</w:t>
            </w:r>
          </w:p>
        </w:tc>
      </w:tr>
      <w:tr>
        <w:tc>
          <w:tcPr>
            <w:tcW w:type="dxa" w:w="2880"/>
          </w:tcPr>
          <w:p>
            <w:pPr>
              <w:jc w:val="center"/>
            </w:pPr>
            <w:r>
              <w:t>I</w:t>
            </w:r>
          </w:p>
        </w:tc>
        <w:tc>
          <w:tcPr>
            <w:tcW w:type="dxa" w:w="2880"/>
          </w:tcPr>
          <w:p>
            <w:pPr>
              <w:jc w:val="center"/>
            </w:pPr>
            <w:r>
              <w:t>0.55</w:t>
            </w:r>
          </w:p>
        </w:tc>
        <w:tc>
          <w:tcPr>
            <w:tcW w:type="dxa" w:w="2880"/>
          </w:tcPr>
          <w:p>
            <w:pPr>
              <w:jc w:val="center"/>
            </w:pPr>
            <w:r>
              <w:t>Minor glycerin evidence detected</w:t>
            </w:r>
          </w:p>
        </w:tc>
      </w:tr>
    </w:tbl>
    <w:p>
      <w:r>
        <w:t>X-Ray Diffractometer XRD-6000Sample J:</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w:t>
            </w:r>
          </w:p>
        </w:tc>
        <w:tc>
          <w:tcPr>
            <w:tcW w:type="dxa" w:w="2880"/>
          </w:tcPr>
          <w:p>
            <w:pPr>
              <w:jc w:val="center"/>
            </w:pPr>
            <w:r>
              <w:rPr>
                <w:b/>
              </w:rPr>
              <w:t>Peak (°C)</w:t>
            </w:r>
          </w:p>
        </w:tc>
        <w:tc>
          <w:tcPr>
            <w:tcW w:type="dxa" w:w="2880"/>
          </w:tcPr>
          <w:p>
            <w:pPr>
              <w:jc w:val="center"/>
            </w:pPr>
            <w:r>
              <w:rPr>
                <w:b/>
              </w:rPr>
              <w:t>Observations</w:t>
            </w:r>
          </w:p>
        </w:tc>
      </w:tr>
      <w:tr>
        <w:tc>
          <w:tcPr>
            <w:tcW w:type="dxa" w:w="2880"/>
          </w:tcPr>
          <w:p>
            <w:pPr>
              <w:jc w:val="center"/>
            </w:pPr>
            <w:r>
              <w:t>J</w:t>
            </w:r>
          </w:p>
        </w:tc>
        <w:tc>
          <w:tcPr>
            <w:tcW w:type="dxa" w:w="2880"/>
          </w:tcPr>
          <w:p>
            <w:pPr>
              <w:jc w:val="center"/>
            </w:pPr>
            <w:r>
              <w:t>130</w:t>
            </w:r>
          </w:p>
        </w:tc>
        <w:tc>
          <w:tcPr>
            <w:tcW w:type="dxa" w:w="2880"/>
          </w:tcPr>
          <w:p>
            <w:pPr>
              <w:jc w:val="center"/>
            </w:pPr>
            <w:r>
              <w:t>Crystalline structure detected due to Beeswax</w:t>
            </w:r>
          </w:p>
        </w:tc>
      </w:tr>
    </w:tbl>
    <w:p>
      <w:r>
        <w:t>Conclusions</w:t>
      </w:r>
    </w:p>
    <w:p>
      <w:r>
        <w:t>The series of laboratory tests provided insightful data regarding interactions within each oil mixture. Additives such as Beeswax and Cetyl Alcohol significantly influence the physical properties, such as wear resistance and chemical stability. Further studies incorporating advanced models could enhance our understanding of these complex interactions.</w:t>
      </w:r>
    </w:p>
    <w:p>
      <w:r>
        <w:t>For a well-rounded comprehension, juxtaposing these data with external environmental conditions would yield more robust conclusions.</w:t>
      </w:r>
    </w:p>
    <w:p>
      <w:r>
        <w:t>Notes</w:t>
      </w:r>
    </w:p>
    <w:p>
      <w:r>
        <w:t>For additional inquiries or detailed datasets, please contact the laboratory research team.</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