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and Additive Mixtures</w:t>
      </w:r>
    </w:p>
    <w:p>
      <w:r>
        <w:t>Report No: 1889</w:t>
      </w:r>
    </w:p>
    <w:p>
      <w:r>
        <w:t>In the pursuit of advanced material characterization, we employed a series of sophisticated analytical techniques to investigate the chemical and physical properties of diverse oil mixtures. These mixtures were meticulously prepared, containing various combinations of natural and synthetic additives. Our objectives were to determine their compositional intricacies and assess their distinctive properties using cutting-edge instrumentation.</w:t>
      </w:r>
    </w:p>
    <w:p>
      <w:r>
        <w:t>Experimental Procedures and Observations</w:t>
      </w:r>
    </w:p>
    <w:p>
      <w:r>
        <w:t>The experimental procedures were meticulously conducted using the instruments listed below. Each test sample consisted of a unique blend of an oil base and specific additives. The test aimed to elucidate the functional capabilities and chemical signatures inherent in each mixture.</w:t>
      </w:r>
    </w:p>
    <w:p>
      <w:r>
        <w:t>Sample:Jojoba Oil &amp; GlycerinInstrument:NMR Spectrometer NMR-500Chemical Shift:10 ppm</w:t>
      </w:r>
    </w:p>
    <w:p>
      <w:r>
        <w:t>Observations:The NMR spectra of the Jojoba Oil and Glycerin mixture showcased a characteristic peak at 10 ppm. Further analysis revealed the presence of hydrogen bonding between the glycerol moieties and the unsaturated fatty acids in the jojoba oil.</w:t>
      </w:r>
    </w:p>
    <w:p>
      <w:r>
        <w:t>Sample:Almond Oil &amp; Vitamin EInstrument:Mass Spectrometer MS-20m/z Ratio:120 m/z</w:t>
      </w:r>
    </w:p>
    <w:p>
      <w:r>
        <w:t>Observations:The mass spectrum of the sample exhibited a definitive peak at 120 m/z, indicating the presence of a tocopherol fragment, which is indicative of Vitamin E. The fragmentation patterns affirmed the successful integration of Vitamin E into Almond Oil.</w:t>
      </w:r>
    </w:p>
    <w:p>
      <w:r>
        <w:t>Sample:Coconut Oil, Gum, &amp; Vitamin EInstrument:Conductivity Meter CM-215Conductivity:1500 µS/cm</w:t>
      </w:r>
    </w:p>
    <w:p>
      <w:r>
        <w:t>Observations:The conductivity readings revealed a substantial ionic content, largely attributable to the incorporation of natural gum, enhancing the charge transfer capability of the mixture.</w:t>
      </w:r>
    </w:p>
    <w:p>
      <w:r>
        <w:t>Sample:Almond Oil &amp; BeeswaxInstrument:Thermocycler TC-5000Temperature:60°C</w:t>
      </w:r>
    </w:p>
    <w:p>
      <w:r>
        <w:t>Observations:The operational temperature for the complete blending of Almond Oil and Beeswax was found to be 60°C, facilitating an even distribution and homogenous phase formation.</w:t>
      </w:r>
    </w:p>
    <w:p>
      <w:r>
        <w:t>Sample:Almond Oil, Gum, &amp; Vitamin EInstrument:FTIR Spectrometer FTIR-8400Wavenumber:3500 cm⁻¹</w:t>
      </w:r>
    </w:p>
    <w:p>
      <w:r>
        <w:t>Observations:The FTIR spectrum displayed prominent absorption bands at 3500 cm⁻¹, related to the O-H stretching vibrations signifying the presence of hydroxyl groups from both the gum and Vitamin E components.</w:t>
      </w:r>
    </w:p>
    <w:p>
      <w:r>
        <w:t>Sample:Coconut OilInstrument:Viscometer VS-300| Measurement 1: 5149.23 cP | Measurement 2: 5099.7 cP |</w:t>
      </w:r>
    </w:p>
    <w:p>
      <w:r>
        <w:t>Observations:The measurements reflected a consistent viscosity profile, characteristic of high molecular weight triglycerides present in Coconut Oil. Minor discrepancies noted may attest to slight variances in ambient laboratory conditions.</w:t>
      </w:r>
    </w:p>
    <w:p>
      <w:r>
        <w:t>Discussions and Irrelevant Tangents</w:t>
      </w:r>
    </w:p>
    <w:p>
      <w:r>
        <w:t>While exploring the interactions among oil bases and varied additives, it is crucial to note the impact of natural light and laboratory temperature fluctuation on the observed outcomes. The intrinsic properties of the oils used are intertwined with the vibrational excitations observed in spectroscopy.</w:t>
      </w:r>
    </w:p>
    <w:p>
      <w:r>
        <w:t>In a completely unrelated observation, consider the color variation in autumn leaves, which interestingly parallels the nuances observed in FTIR spectra when dealing with complex organic molecules. Such unexpected comparisons prove insightful in reimagining analytical methodologies.</w:t>
      </w:r>
    </w:p>
    <w:p>
      <w:r>
        <w:t>Moreover, the period during which these tests were conducted coincided with a peculiar rise in feline activity, as noted outside the laboratory window, promising intriguing future research pathways unrelated to the task at hand.</w:t>
      </w:r>
    </w:p>
    <w:p>
      <w:r>
        <w:t>Tables and Data Presentation</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Technique</w:t>
            </w:r>
          </w:p>
        </w:tc>
        <w:tc>
          <w:tcPr>
            <w:tcW w:type="dxa" w:w="1728"/>
          </w:tcPr>
          <w:p>
            <w:pPr>
              <w:jc w:val="center"/>
            </w:pPr>
            <w:r>
              <w:rPr>
                <w:b/>
              </w:rPr>
              <w:t>Sample Composition</w:t>
            </w:r>
          </w:p>
        </w:tc>
        <w:tc>
          <w:tcPr>
            <w:tcW w:type="dxa" w:w="1728"/>
          </w:tcPr>
          <w:p>
            <w:pPr>
              <w:jc w:val="center"/>
            </w:pPr>
            <w:r>
              <w:rPr>
                <w:b/>
              </w:rPr>
              <w:t>Instrumentation</w:t>
            </w:r>
          </w:p>
        </w:tc>
        <w:tc>
          <w:tcPr>
            <w:tcW w:type="dxa" w:w="1728"/>
          </w:tcPr>
          <w:p>
            <w:pPr>
              <w:jc w:val="center"/>
            </w:pPr>
            <w:r>
              <w:rPr>
                <w:b/>
              </w:rPr>
              <w:t>Metric</w:t>
            </w:r>
          </w:p>
        </w:tc>
        <w:tc>
          <w:tcPr>
            <w:tcW w:type="dxa" w:w="1728"/>
          </w:tcPr>
          <w:p>
            <w:pPr>
              <w:jc w:val="center"/>
            </w:pPr>
            <w:r>
              <w:rPr>
                <w:b/>
              </w:rPr>
              <w:t>Result Value</w:t>
            </w:r>
          </w:p>
        </w:tc>
      </w:tr>
      <w:tr>
        <w:tc>
          <w:tcPr>
            <w:tcW w:type="dxa" w:w="1728"/>
          </w:tcPr>
          <w:p>
            <w:pPr>
              <w:jc w:val="center"/>
            </w:pPr>
            <w:r>
              <w:t>NMR Spectroscopy</w:t>
            </w:r>
          </w:p>
        </w:tc>
        <w:tc>
          <w:tcPr>
            <w:tcW w:type="dxa" w:w="1728"/>
          </w:tcPr>
          <w:p>
            <w:pPr>
              <w:jc w:val="center"/>
            </w:pPr>
            <w:r>
              <w:t>Jojoba Oil &amp; Glycerin</w:t>
            </w:r>
          </w:p>
        </w:tc>
        <w:tc>
          <w:tcPr>
            <w:tcW w:type="dxa" w:w="1728"/>
          </w:tcPr>
          <w:p>
            <w:pPr>
              <w:jc w:val="center"/>
            </w:pPr>
            <w:r>
              <w:t>NMR-500</w:t>
            </w:r>
          </w:p>
        </w:tc>
        <w:tc>
          <w:tcPr>
            <w:tcW w:type="dxa" w:w="1728"/>
          </w:tcPr>
          <w:p>
            <w:pPr>
              <w:jc w:val="center"/>
            </w:pPr>
            <w:r>
              <w:t>Chemical Shift (ppm)</w:t>
            </w:r>
          </w:p>
        </w:tc>
        <w:tc>
          <w:tcPr>
            <w:tcW w:type="dxa" w:w="1728"/>
          </w:tcPr>
          <w:p>
            <w:pPr>
              <w:jc w:val="center"/>
            </w:pPr>
            <w:r>
              <w:t>10.0</w:t>
            </w:r>
          </w:p>
        </w:tc>
      </w:tr>
      <w:tr>
        <w:tc>
          <w:tcPr>
            <w:tcW w:type="dxa" w:w="1728"/>
          </w:tcPr>
          <w:p>
            <w:pPr>
              <w:jc w:val="center"/>
            </w:pPr>
            <w:r>
              <w:t>Mass Spectrometry</w:t>
            </w:r>
          </w:p>
        </w:tc>
        <w:tc>
          <w:tcPr>
            <w:tcW w:type="dxa" w:w="1728"/>
          </w:tcPr>
          <w:p>
            <w:pPr>
              <w:jc w:val="center"/>
            </w:pPr>
            <w:r>
              <w:t>Almond Oil &amp; Vitamin E</w:t>
            </w:r>
          </w:p>
        </w:tc>
        <w:tc>
          <w:tcPr>
            <w:tcW w:type="dxa" w:w="1728"/>
          </w:tcPr>
          <w:p>
            <w:pPr>
              <w:jc w:val="center"/>
            </w:pPr>
            <w:r>
              <w:t>MS-20</w:t>
            </w:r>
          </w:p>
        </w:tc>
        <w:tc>
          <w:tcPr>
            <w:tcW w:type="dxa" w:w="1728"/>
          </w:tcPr>
          <w:p>
            <w:pPr>
              <w:jc w:val="center"/>
            </w:pPr>
            <w:r>
              <w:t>m/z Ratio</w:t>
            </w:r>
          </w:p>
        </w:tc>
        <w:tc>
          <w:tcPr>
            <w:tcW w:type="dxa" w:w="1728"/>
          </w:tcPr>
          <w:p>
            <w:pPr>
              <w:jc w:val="center"/>
            </w:pPr>
            <w:r>
              <w:t>120.0</w:t>
            </w:r>
          </w:p>
        </w:tc>
      </w:tr>
      <w:tr>
        <w:tc>
          <w:tcPr>
            <w:tcW w:type="dxa" w:w="1728"/>
          </w:tcPr>
          <w:p>
            <w:pPr>
              <w:jc w:val="center"/>
            </w:pPr>
            <w:r>
              <w:t>Conductivity</w:t>
            </w:r>
          </w:p>
        </w:tc>
        <w:tc>
          <w:tcPr>
            <w:tcW w:type="dxa" w:w="1728"/>
          </w:tcPr>
          <w:p>
            <w:pPr>
              <w:jc w:val="center"/>
            </w:pPr>
            <w:r>
              <w:t>Coconut Oil, Gum &amp; Vitamin E</w:t>
            </w:r>
          </w:p>
        </w:tc>
        <w:tc>
          <w:tcPr>
            <w:tcW w:type="dxa" w:w="1728"/>
          </w:tcPr>
          <w:p>
            <w:pPr>
              <w:jc w:val="center"/>
            </w:pPr>
            <w:r>
              <w:t>CM-215</w:t>
            </w:r>
          </w:p>
        </w:tc>
        <w:tc>
          <w:tcPr>
            <w:tcW w:type="dxa" w:w="1728"/>
          </w:tcPr>
          <w:p>
            <w:pPr>
              <w:jc w:val="center"/>
            </w:pPr>
            <w:r>
              <w:t>Conductivity (µS/cm)</w:t>
            </w:r>
          </w:p>
        </w:tc>
        <w:tc>
          <w:tcPr>
            <w:tcW w:type="dxa" w:w="1728"/>
          </w:tcPr>
          <w:p>
            <w:pPr>
              <w:jc w:val="center"/>
            </w:pPr>
            <w:r>
              <w:t>1500.0</w:t>
            </w:r>
          </w:p>
        </w:tc>
      </w:tr>
      <w:tr>
        <w:tc>
          <w:tcPr>
            <w:tcW w:type="dxa" w:w="1728"/>
          </w:tcPr>
          <w:p>
            <w:pPr>
              <w:jc w:val="center"/>
            </w:pPr>
            <w:r>
              <w:t>Thermal Analysis</w:t>
            </w:r>
          </w:p>
        </w:tc>
        <w:tc>
          <w:tcPr>
            <w:tcW w:type="dxa" w:w="1728"/>
          </w:tcPr>
          <w:p>
            <w:pPr>
              <w:jc w:val="center"/>
            </w:pPr>
            <w:r>
              <w:t>Almond Oil &amp; Beeswax</w:t>
            </w:r>
          </w:p>
        </w:tc>
        <w:tc>
          <w:tcPr>
            <w:tcW w:type="dxa" w:w="1728"/>
          </w:tcPr>
          <w:p>
            <w:pPr>
              <w:jc w:val="center"/>
            </w:pPr>
            <w:r>
              <w:t>TC-5000</w:t>
            </w:r>
          </w:p>
        </w:tc>
        <w:tc>
          <w:tcPr>
            <w:tcW w:type="dxa" w:w="1728"/>
          </w:tcPr>
          <w:p>
            <w:pPr>
              <w:jc w:val="center"/>
            </w:pPr>
            <w:r>
              <w:t>Temperature (°C)</w:t>
            </w:r>
          </w:p>
        </w:tc>
        <w:tc>
          <w:tcPr>
            <w:tcW w:type="dxa" w:w="1728"/>
          </w:tcPr>
          <w:p>
            <w:pPr>
              <w:jc w:val="center"/>
            </w:pPr>
            <w:r>
              <w:t>60.0</w:t>
            </w:r>
          </w:p>
        </w:tc>
      </w:tr>
      <w:tr>
        <w:tc>
          <w:tcPr>
            <w:tcW w:type="dxa" w:w="1728"/>
          </w:tcPr>
          <w:p>
            <w:pPr>
              <w:jc w:val="center"/>
            </w:pPr>
            <w:r>
              <w:t>FTIR Spectroscopy</w:t>
            </w:r>
          </w:p>
        </w:tc>
        <w:tc>
          <w:tcPr>
            <w:tcW w:type="dxa" w:w="1728"/>
          </w:tcPr>
          <w:p>
            <w:pPr>
              <w:jc w:val="center"/>
            </w:pPr>
            <w:r>
              <w:t>Almond Oil, Gum &amp; Vitamin E</w:t>
            </w:r>
          </w:p>
        </w:tc>
        <w:tc>
          <w:tcPr>
            <w:tcW w:type="dxa" w:w="1728"/>
          </w:tcPr>
          <w:p>
            <w:pPr>
              <w:jc w:val="center"/>
            </w:pPr>
            <w:r>
              <w:t>FTIR-8400</w:t>
            </w:r>
          </w:p>
        </w:tc>
        <w:tc>
          <w:tcPr>
            <w:tcW w:type="dxa" w:w="1728"/>
          </w:tcPr>
          <w:p>
            <w:pPr>
              <w:jc w:val="center"/>
            </w:pPr>
            <w:r>
              <w:t>Wavenumber (cm⁻¹)</w:t>
            </w:r>
          </w:p>
        </w:tc>
        <w:tc>
          <w:tcPr>
            <w:tcW w:type="dxa" w:w="1728"/>
          </w:tcPr>
          <w:p>
            <w:pPr>
              <w:jc w:val="center"/>
            </w:pPr>
            <w:r>
              <w:t>3500.0</w:t>
            </w:r>
          </w:p>
        </w:tc>
      </w:tr>
      <w:tr>
        <w:tc>
          <w:tcPr>
            <w:tcW w:type="dxa" w:w="1728"/>
          </w:tcPr>
          <w:p>
            <w:pPr>
              <w:jc w:val="center"/>
            </w:pPr>
            <w:r>
              <w:t>Viscosity (1)</w:t>
            </w:r>
          </w:p>
        </w:tc>
        <w:tc>
          <w:tcPr>
            <w:tcW w:type="dxa" w:w="1728"/>
          </w:tcPr>
          <w:p>
            <w:pPr>
              <w:jc w:val="center"/>
            </w:pPr>
            <w:r>
              <w:t>Coconut Oil</w:t>
            </w:r>
          </w:p>
        </w:tc>
        <w:tc>
          <w:tcPr>
            <w:tcW w:type="dxa" w:w="1728"/>
          </w:tcPr>
          <w:p>
            <w:pPr>
              <w:jc w:val="center"/>
            </w:pPr>
            <w:r>
              <w:t>VS-300</w:t>
            </w:r>
          </w:p>
        </w:tc>
        <w:tc>
          <w:tcPr>
            <w:tcW w:type="dxa" w:w="1728"/>
          </w:tcPr>
          <w:p>
            <w:pPr>
              <w:jc w:val="center"/>
            </w:pPr>
            <w:r>
              <w:t>Viscosity (cP)</w:t>
            </w:r>
          </w:p>
        </w:tc>
        <w:tc>
          <w:tcPr>
            <w:tcW w:type="dxa" w:w="1728"/>
          </w:tcPr>
          <w:p>
            <w:pPr>
              <w:jc w:val="center"/>
            </w:pPr>
            <w:r>
              <w:t>5149.23</w:t>
            </w:r>
          </w:p>
        </w:tc>
      </w:tr>
      <w:tr>
        <w:tc>
          <w:tcPr>
            <w:tcW w:type="dxa" w:w="1728"/>
          </w:tcPr>
          <w:p>
            <w:pPr>
              <w:jc w:val="center"/>
            </w:pPr>
            <w:r>
              <w:t>Viscosity (2)</w:t>
            </w:r>
          </w:p>
        </w:tc>
        <w:tc>
          <w:tcPr>
            <w:tcW w:type="dxa" w:w="1728"/>
          </w:tcPr>
          <w:p>
            <w:pPr>
              <w:jc w:val="center"/>
            </w:pPr>
            <w:r>
              <w:t>Coconut Oil</w:t>
            </w:r>
          </w:p>
        </w:tc>
        <w:tc>
          <w:tcPr>
            <w:tcW w:type="dxa" w:w="1728"/>
          </w:tcPr>
          <w:p>
            <w:pPr>
              <w:jc w:val="center"/>
            </w:pPr>
            <w:r>
              <w:t>VS-300</w:t>
            </w:r>
          </w:p>
        </w:tc>
        <w:tc>
          <w:tcPr>
            <w:tcW w:type="dxa" w:w="1728"/>
          </w:tcPr>
          <w:p>
            <w:pPr>
              <w:jc w:val="center"/>
            </w:pPr>
            <w:r>
              <w:t>Viscosity (cP)</w:t>
            </w:r>
          </w:p>
        </w:tc>
        <w:tc>
          <w:tcPr>
            <w:tcW w:type="dxa" w:w="1728"/>
          </w:tcPr>
          <w:p>
            <w:pPr>
              <w:jc w:val="center"/>
            </w:pPr>
            <w:r>
              <w:t>5099.7</w:t>
            </w:r>
          </w:p>
        </w:tc>
      </w:tr>
    </w:tbl>
    <w:p>
      <w:r>
        <w:t>This comprehensive set of data, while seemingly trivially organized, holds the secrets to potential breakthroughs in multi-phased organic mixtures.</w:t>
      </w:r>
    </w:p>
    <w:p>
      <w:r>
        <w:t>Conclusion</w:t>
      </w:r>
    </w:p>
    <w:p>
      <w:r>
        <w:t>This detailed assessment underscores the importance of selecting appropriate analytical tools to uncover the inherent characteristics of oil blends containing diverse natural additives. While the process revealed insightful chemical profiles, future studies would benefit from exploring the underpinnings of environmental influences on analytical precision.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