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Experimental Analysis - Report_1977</w:t>
      </w:r>
    </w:p>
    <w:p>
      <w:r>
        <w:t>Introduction</w:t>
      </w:r>
    </w:p>
    <w:p>
      <w:r>
        <w:t>In this series of experiments, we examined various mixtures using different analytical techniques. Each mixture, treated as a singular test sample, was analyzed across multiple instruments to gather a comprehensive understanding of their physical, chemical, and spectral properties. The diverse dataset presented here is complex, intended to offer detailed insights into each mixture's behavior under specific conditions.</w:t>
      </w:r>
    </w:p>
    <w:p>
      <w:r>
        <w:t>Included Techniques:</w:t>
        <w:br/>
        <w:t>- FTIR Spectroscopy</w:t>
        <w:br/>
        <w:t>- PCR Analysis</w:t>
        <w:br/>
        <w:t xml:space="preserve">- Microplate Reading </w:t>
        <w:br/>
        <w:t>- X-Ray Diffraction</w:t>
        <w:br/>
        <w:t xml:space="preserve">- Spectrometry </w:t>
        <w:br/>
        <w:t>- Thermocycling</w:t>
        <w:br/>
        <w:t>- Conductivity Measurements</w:t>
        <w:br/>
        <w:t>- Rheometry</w:t>
        <w:br/>
        <w:t>- Viscosity Analysis</w:t>
      </w:r>
    </w:p>
    <w:p>
      <w:r>
        <w:t>Data and Observations</w:t>
      </w:r>
    </w:p>
    <w:p>
      <w:r>
        <w:t>Table 1: Sample Composition and Measurement Instruments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Instruments Used</w:t>
            </w:r>
          </w:p>
        </w:tc>
        <w:tc>
          <w:tcPr>
            <w:tcW w:type="dxa" w:w="2160"/>
          </w:tcPr>
          <w:p>
            <w:pPr>
              <w:jc w:val="center"/>
            </w:pPr>
            <w:r>
              <w:rPr>
                <w:b/>
              </w:rPr>
              <w:t>Ingredients</w:t>
            </w:r>
          </w:p>
        </w:tc>
        <w:tc>
          <w:tcPr>
            <w:tcW w:type="dxa" w:w="2160"/>
          </w:tcPr>
          <w:p>
            <w:pPr>
              <w:jc w:val="center"/>
            </w:pPr>
            <w:r>
              <w:rPr>
                <w:b/>
              </w:rPr>
              <w:t>Comments</w:t>
            </w:r>
          </w:p>
        </w:tc>
      </w:tr>
      <w:tr>
        <w:tc>
          <w:tcPr>
            <w:tcW w:type="dxa" w:w="2160"/>
          </w:tcPr>
          <w:p>
            <w:pPr>
              <w:jc w:val="center"/>
            </w:pPr>
            <w:r>
              <w:t>S1</w:t>
            </w:r>
          </w:p>
        </w:tc>
        <w:tc>
          <w:tcPr>
            <w:tcW w:type="dxa" w:w="2160"/>
          </w:tcPr>
          <w:p>
            <w:pPr>
              <w:jc w:val="center"/>
            </w:pPr>
            <w:r>
              <w:t>FTIR Spectrometer FTIR-8400</w:t>
            </w:r>
          </w:p>
        </w:tc>
        <w:tc>
          <w:tcPr>
            <w:tcW w:type="dxa" w:w="2160"/>
          </w:tcPr>
          <w:p>
            <w:pPr>
              <w:jc w:val="center"/>
            </w:pPr>
            <w:r>
              <w:t>Jojoba Oil, Beeswax, Glycerin</w:t>
            </w:r>
          </w:p>
        </w:tc>
        <w:tc>
          <w:tcPr>
            <w:tcW w:type="dxa" w:w="2160"/>
          </w:tcPr>
          <w:p>
            <w:pPr>
              <w:jc w:val="center"/>
            </w:pPr>
            <w:r>
              <w:t>Unique spectral bands</w:t>
            </w:r>
          </w:p>
        </w:tc>
      </w:tr>
      <w:tr>
        <w:tc>
          <w:tcPr>
            <w:tcW w:type="dxa" w:w="2160"/>
          </w:tcPr>
          <w:p>
            <w:pPr>
              <w:jc w:val="center"/>
            </w:pPr>
            <w:r>
              <w:t>S2</w:t>
            </w:r>
          </w:p>
        </w:tc>
        <w:tc>
          <w:tcPr>
            <w:tcW w:type="dxa" w:w="2160"/>
          </w:tcPr>
          <w:p>
            <w:pPr>
              <w:jc w:val="center"/>
            </w:pPr>
            <w:r>
              <w:t>PCR Machine PCR-96</w:t>
            </w:r>
          </w:p>
        </w:tc>
        <w:tc>
          <w:tcPr>
            <w:tcW w:type="dxa" w:w="2160"/>
          </w:tcPr>
          <w:p>
            <w:pPr>
              <w:jc w:val="center"/>
            </w:pPr>
            <w:r>
              <w:t>Coconut Oil, Cetyl Alcohol, Glycerin</w:t>
            </w:r>
          </w:p>
        </w:tc>
        <w:tc>
          <w:tcPr>
            <w:tcW w:type="dxa" w:w="2160"/>
          </w:tcPr>
          <w:p>
            <w:pPr>
              <w:jc w:val="center"/>
            </w:pPr>
            <w:r>
              <w:t>Amplification at 25 Ct</w:t>
            </w:r>
          </w:p>
        </w:tc>
      </w:tr>
      <w:tr>
        <w:tc>
          <w:tcPr>
            <w:tcW w:type="dxa" w:w="2160"/>
          </w:tcPr>
          <w:p>
            <w:pPr>
              <w:jc w:val="center"/>
            </w:pPr>
            <w:r>
              <w:t>S3</w:t>
            </w:r>
          </w:p>
        </w:tc>
        <w:tc>
          <w:tcPr>
            <w:tcW w:type="dxa" w:w="2160"/>
          </w:tcPr>
          <w:p>
            <w:pPr>
              <w:jc w:val="center"/>
            </w:pPr>
            <w:r>
              <w:t>Microplate Reader MRX</w:t>
            </w:r>
          </w:p>
        </w:tc>
        <w:tc>
          <w:tcPr>
            <w:tcW w:type="dxa" w:w="2160"/>
          </w:tcPr>
          <w:p>
            <w:pPr>
              <w:jc w:val="center"/>
            </w:pPr>
            <w:r>
              <w:t>Jojoba Oil, Glycerin</w:t>
            </w:r>
          </w:p>
        </w:tc>
        <w:tc>
          <w:tcPr>
            <w:tcW w:type="dxa" w:w="2160"/>
          </w:tcPr>
          <w:p>
            <w:pPr>
              <w:jc w:val="center"/>
            </w:pPr>
            <w:r>
              <w:t>Slight turbidity noted</w:t>
            </w:r>
          </w:p>
        </w:tc>
      </w:tr>
      <w:tr>
        <w:tc>
          <w:tcPr>
            <w:tcW w:type="dxa" w:w="2160"/>
          </w:tcPr>
          <w:p>
            <w:pPr>
              <w:jc w:val="center"/>
            </w:pPr>
            <w:r>
              <w:t>S4</w:t>
            </w:r>
          </w:p>
        </w:tc>
        <w:tc>
          <w:tcPr>
            <w:tcW w:type="dxa" w:w="2160"/>
          </w:tcPr>
          <w:p>
            <w:pPr>
              <w:jc w:val="center"/>
            </w:pPr>
            <w:r>
              <w:t>X-Ray Diffractometer XRD-6000</w:t>
            </w:r>
          </w:p>
        </w:tc>
        <w:tc>
          <w:tcPr>
            <w:tcW w:type="dxa" w:w="2160"/>
          </w:tcPr>
          <w:p>
            <w:pPr>
              <w:jc w:val="center"/>
            </w:pPr>
            <w:r>
              <w:t>Jojoba Oil, Beeswax, Vitamin E</w:t>
            </w:r>
          </w:p>
        </w:tc>
        <w:tc>
          <w:tcPr>
            <w:tcW w:type="dxa" w:w="2160"/>
          </w:tcPr>
          <w:p>
            <w:pPr>
              <w:jc w:val="center"/>
            </w:pPr>
            <w:r>
              <w:t>Crystalline structure</w:t>
            </w:r>
          </w:p>
        </w:tc>
      </w:tr>
    </w:tbl>
    <w:p>
      <w:r>
        <w:t>Table 2: Detailed Observations and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Additional Compounds</w:t>
            </w:r>
          </w:p>
        </w:tc>
        <w:tc>
          <w:tcPr>
            <w:tcW w:type="dxa" w:w="1728"/>
          </w:tcPr>
          <w:p>
            <w:pPr>
              <w:jc w:val="center"/>
            </w:pPr>
            <w:r>
              <w:rPr>
                <w:b/>
              </w:rPr>
              <w:t>Measurement Value</w:t>
            </w:r>
          </w:p>
        </w:tc>
        <w:tc>
          <w:tcPr>
            <w:tcW w:type="dxa" w:w="1728"/>
          </w:tcPr>
          <w:p>
            <w:pPr>
              <w:jc w:val="center"/>
            </w:pPr>
            <w:r>
              <w:rPr>
                <w:b/>
              </w:rPr>
              <w:t>Units</w:t>
            </w:r>
          </w:p>
        </w:tc>
        <w:tc>
          <w:tcPr>
            <w:tcW w:type="dxa" w:w="1728"/>
          </w:tcPr>
          <w:p>
            <w:pPr>
              <w:jc w:val="center"/>
            </w:pPr>
            <w:r>
              <w:rPr>
                <w:b/>
              </w:rPr>
              <w:t>Irrelevant Information</w:t>
            </w:r>
          </w:p>
        </w:tc>
      </w:tr>
      <w:tr>
        <w:tc>
          <w:tcPr>
            <w:tcW w:type="dxa" w:w="1728"/>
          </w:tcPr>
          <w:p>
            <w:pPr>
              <w:jc w:val="center"/>
            </w:pPr>
            <w:r>
              <w:t>S1</w:t>
            </w:r>
          </w:p>
        </w:tc>
        <w:tc>
          <w:tcPr>
            <w:tcW w:type="dxa" w:w="1728"/>
          </w:tcPr>
          <w:p>
            <w:pPr>
              <w:jc w:val="center"/>
            </w:pPr>
            <w:r>
              <w:t>nan</w:t>
            </w:r>
          </w:p>
        </w:tc>
        <w:tc>
          <w:tcPr>
            <w:tcW w:type="dxa" w:w="1728"/>
          </w:tcPr>
          <w:p>
            <w:pPr>
              <w:jc w:val="center"/>
            </w:pPr>
            <w:r>
              <w:t>1300.0</w:t>
            </w:r>
          </w:p>
        </w:tc>
        <w:tc>
          <w:tcPr>
            <w:tcW w:type="dxa" w:w="1728"/>
          </w:tcPr>
          <w:p>
            <w:pPr>
              <w:jc w:val="center"/>
            </w:pPr>
            <w:r>
              <w:t>1/cm</w:t>
            </w:r>
          </w:p>
        </w:tc>
        <w:tc>
          <w:tcPr>
            <w:tcW w:type="dxa" w:w="1728"/>
          </w:tcPr>
          <w:p>
            <w:pPr>
              <w:jc w:val="center"/>
            </w:pPr>
            <w:r>
              <w:t>Atmospheric pressure was normal</w:t>
            </w:r>
          </w:p>
        </w:tc>
      </w:tr>
      <w:tr>
        <w:tc>
          <w:tcPr>
            <w:tcW w:type="dxa" w:w="1728"/>
          </w:tcPr>
          <w:p>
            <w:pPr>
              <w:jc w:val="center"/>
            </w:pPr>
            <w:r>
              <w:t>S2</w:t>
            </w:r>
          </w:p>
        </w:tc>
        <w:tc>
          <w:tcPr>
            <w:tcW w:type="dxa" w:w="1728"/>
          </w:tcPr>
          <w:p>
            <w:pPr>
              <w:jc w:val="center"/>
            </w:pPr>
            <w:r>
              <w:t>nan</w:t>
            </w:r>
          </w:p>
        </w:tc>
        <w:tc>
          <w:tcPr>
            <w:tcW w:type="dxa" w:w="1728"/>
          </w:tcPr>
          <w:p>
            <w:pPr>
              <w:jc w:val="center"/>
            </w:pPr>
            <w:r>
              <w:t>25.0</w:t>
            </w:r>
          </w:p>
        </w:tc>
        <w:tc>
          <w:tcPr>
            <w:tcW w:type="dxa" w:w="1728"/>
          </w:tcPr>
          <w:p>
            <w:pPr>
              <w:jc w:val="center"/>
            </w:pPr>
            <w:r>
              <w:t>Ct</w:t>
            </w:r>
          </w:p>
        </w:tc>
        <w:tc>
          <w:tcPr>
            <w:tcW w:type="dxa" w:w="1728"/>
          </w:tcPr>
          <w:p>
            <w:pPr>
              <w:jc w:val="center"/>
            </w:pPr>
            <w:r>
              <w:t>Temperature in the lab was 22°C</w:t>
            </w:r>
          </w:p>
        </w:tc>
      </w:tr>
      <w:tr>
        <w:tc>
          <w:tcPr>
            <w:tcW w:type="dxa" w:w="1728"/>
          </w:tcPr>
          <w:p>
            <w:pPr>
              <w:jc w:val="center"/>
            </w:pPr>
            <w:r>
              <w:t>S3</w:t>
            </w:r>
          </w:p>
        </w:tc>
        <w:tc>
          <w:tcPr>
            <w:tcW w:type="dxa" w:w="1728"/>
          </w:tcPr>
          <w:p>
            <w:pPr>
              <w:jc w:val="center"/>
            </w:pPr>
            <w:r>
              <w:t>Vitamin D (traces)</w:t>
            </w:r>
          </w:p>
        </w:tc>
        <w:tc>
          <w:tcPr>
            <w:tcW w:type="dxa" w:w="1728"/>
          </w:tcPr>
          <w:p>
            <w:pPr>
              <w:jc w:val="center"/>
            </w:pPr>
            <w:r>
              <w:t>0.85</w:t>
            </w:r>
          </w:p>
        </w:tc>
        <w:tc>
          <w:tcPr>
            <w:tcW w:type="dxa" w:w="1728"/>
          </w:tcPr>
          <w:p>
            <w:pPr>
              <w:jc w:val="center"/>
            </w:pPr>
            <w:r>
              <w:t>OD</w:t>
            </w:r>
          </w:p>
        </w:tc>
        <w:tc>
          <w:tcPr>
            <w:tcW w:type="dxa" w:w="1728"/>
          </w:tcPr>
          <w:p>
            <w:pPr>
              <w:jc w:val="center"/>
            </w:pPr>
            <w:r>
              <w:t>The sky was partly cloudy today</w:t>
            </w:r>
          </w:p>
        </w:tc>
      </w:tr>
      <w:tr>
        <w:tc>
          <w:tcPr>
            <w:tcW w:type="dxa" w:w="1728"/>
          </w:tcPr>
          <w:p>
            <w:pPr>
              <w:jc w:val="center"/>
            </w:pPr>
            <w:r>
              <w:t>S4</w:t>
            </w:r>
          </w:p>
        </w:tc>
        <w:tc>
          <w:tcPr>
            <w:tcW w:type="dxa" w:w="1728"/>
          </w:tcPr>
          <w:p>
            <w:pPr>
              <w:jc w:val="center"/>
            </w:pPr>
            <w:r>
              <w:t>nan</w:t>
            </w:r>
          </w:p>
        </w:tc>
        <w:tc>
          <w:tcPr>
            <w:tcW w:type="dxa" w:w="1728"/>
          </w:tcPr>
          <w:p>
            <w:pPr>
              <w:jc w:val="center"/>
            </w:pPr>
            <w:r>
              <w:t>45.0</w:t>
            </w:r>
          </w:p>
        </w:tc>
        <w:tc>
          <w:tcPr>
            <w:tcW w:type="dxa" w:w="1728"/>
          </w:tcPr>
          <w:p>
            <w:pPr>
              <w:jc w:val="center"/>
            </w:pPr>
            <w:r>
              <w:t>C</w:t>
            </w:r>
          </w:p>
        </w:tc>
        <w:tc>
          <w:tcPr>
            <w:tcW w:type="dxa" w:w="1728"/>
          </w:tcPr>
          <w:p>
            <w:pPr>
              <w:jc w:val="center"/>
            </w:pPr>
            <w:r>
              <w:t>Lab coat was brightly colored</w:t>
            </w:r>
          </w:p>
        </w:tc>
      </w:tr>
    </w:tbl>
    <w:p>
      <w:r>
        <w:t>Table 3: Instrument-Specific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Units</w:t>
            </w:r>
          </w:p>
        </w:tc>
        <w:tc>
          <w:tcPr>
            <w:tcW w:type="dxa" w:w="1728"/>
          </w:tcPr>
          <w:p>
            <w:pPr>
              <w:jc w:val="center"/>
            </w:pPr>
            <w:r>
              <w:rPr>
                <w:b/>
              </w:rPr>
              <w:t>Description</w:t>
            </w:r>
          </w:p>
        </w:tc>
      </w:tr>
      <w:tr>
        <w:tc>
          <w:tcPr>
            <w:tcW w:type="dxa" w:w="1728"/>
          </w:tcPr>
          <w:p>
            <w:pPr>
              <w:jc w:val="center"/>
            </w:pPr>
            <w:r>
              <w:t>S5</w:t>
            </w:r>
          </w:p>
        </w:tc>
        <w:tc>
          <w:tcPr>
            <w:tcW w:type="dxa" w:w="1728"/>
          </w:tcPr>
          <w:p>
            <w:pPr>
              <w:jc w:val="center"/>
            </w:pPr>
            <w:r>
              <w:t>Spectrometer Alpha-300</w:t>
            </w:r>
          </w:p>
        </w:tc>
        <w:tc>
          <w:tcPr>
            <w:tcW w:type="dxa" w:w="1728"/>
          </w:tcPr>
          <w:p>
            <w:pPr>
              <w:jc w:val="center"/>
            </w:pPr>
            <w:r>
              <w:t>250</w:t>
            </w:r>
          </w:p>
        </w:tc>
        <w:tc>
          <w:tcPr>
            <w:tcW w:type="dxa" w:w="1728"/>
          </w:tcPr>
          <w:p>
            <w:pPr>
              <w:jc w:val="center"/>
            </w:pPr>
            <w:r>
              <w:t>nm</w:t>
            </w:r>
          </w:p>
        </w:tc>
        <w:tc>
          <w:tcPr>
            <w:tcW w:type="dxa" w:w="1728"/>
          </w:tcPr>
          <w:p>
            <w:pPr>
              <w:jc w:val="center"/>
            </w:pPr>
            <w:r>
              <w:t>Peak absorption observed during spectral analysis</w:t>
            </w:r>
          </w:p>
        </w:tc>
      </w:tr>
      <w:tr>
        <w:tc>
          <w:tcPr>
            <w:tcW w:type="dxa" w:w="1728"/>
          </w:tcPr>
          <w:p>
            <w:pPr>
              <w:jc w:val="center"/>
            </w:pPr>
            <w:r>
              <w:t>S6</w:t>
            </w:r>
          </w:p>
        </w:tc>
        <w:tc>
          <w:tcPr>
            <w:tcW w:type="dxa" w:w="1728"/>
          </w:tcPr>
          <w:p>
            <w:pPr>
              <w:jc w:val="center"/>
            </w:pPr>
            <w:r>
              <w:t>Thermocycler TC-5000</w:t>
            </w:r>
          </w:p>
        </w:tc>
        <w:tc>
          <w:tcPr>
            <w:tcW w:type="dxa" w:w="1728"/>
          </w:tcPr>
          <w:p>
            <w:pPr>
              <w:jc w:val="center"/>
            </w:pPr>
            <w:r>
              <w:t>60</w:t>
            </w:r>
          </w:p>
        </w:tc>
        <w:tc>
          <w:tcPr>
            <w:tcW w:type="dxa" w:w="1728"/>
          </w:tcPr>
          <w:p>
            <w:pPr>
              <w:jc w:val="center"/>
            </w:pPr>
            <w:r>
              <w:t>C</w:t>
            </w:r>
          </w:p>
        </w:tc>
        <w:tc>
          <w:tcPr>
            <w:tcW w:type="dxa" w:w="1728"/>
          </w:tcPr>
          <w:p>
            <w:pPr>
              <w:jc w:val="center"/>
            </w:pPr>
            <w:r>
              <w:t>Gradual increase in viscosity noted</w:t>
            </w:r>
          </w:p>
        </w:tc>
      </w:tr>
      <w:tr>
        <w:tc>
          <w:tcPr>
            <w:tcW w:type="dxa" w:w="1728"/>
          </w:tcPr>
          <w:p>
            <w:pPr>
              <w:jc w:val="center"/>
            </w:pPr>
            <w:r>
              <w:t>S7</w:t>
            </w:r>
          </w:p>
        </w:tc>
        <w:tc>
          <w:tcPr>
            <w:tcW w:type="dxa" w:w="1728"/>
          </w:tcPr>
          <w:p>
            <w:pPr>
              <w:jc w:val="center"/>
            </w:pPr>
            <w:r>
              <w:t>Conductivity Meter CM-215</w:t>
            </w:r>
          </w:p>
        </w:tc>
        <w:tc>
          <w:tcPr>
            <w:tcW w:type="dxa" w:w="1728"/>
          </w:tcPr>
          <w:p>
            <w:pPr>
              <w:jc w:val="center"/>
            </w:pPr>
            <w:r>
              <w:t>1500</w:t>
            </w:r>
          </w:p>
        </w:tc>
        <w:tc>
          <w:tcPr>
            <w:tcW w:type="dxa" w:w="1728"/>
          </w:tcPr>
          <w:p>
            <w:pPr>
              <w:jc w:val="center"/>
            </w:pPr>
            <w:r>
              <w:t>uS/cm</w:t>
            </w:r>
          </w:p>
        </w:tc>
        <w:tc>
          <w:tcPr>
            <w:tcW w:type="dxa" w:w="1728"/>
          </w:tcPr>
          <w:p>
            <w:pPr>
              <w:jc w:val="center"/>
            </w:pPr>
            <w:r>
              <w:t>High ionic conductivity indicating electrolyte presence</w:t>
            </w:r>
          </w:p>
        </w:tc>
      </w:tr>
      <w:tr>
        <w:tc>
          <w:tcPr>
            <w:tcW w:type="dxa" w:w="1728"/>
          </w:tcPr>
          <w:p>
            <w:pPr>
              <w:jc w:val="center"/>
            </w:pPr>
            <w:r>
              <w:t>S8</w:t>
            </w:r>
          </w:p>
        </w:tc>
        <w:tc>
          <w:tcPr>
            <w:tcW w:type="dxa" w:w="1728"/>
          </w:tcPr>
          <w:p>
            <w:pPr>
              <w:jc w:val="center"/>
            </w:pPr>
            <w:r>
              <w:t>Rheometer R-4500</w:t>
            </w:r>
          </w:p>
        </w:tc>
        <w:tc>
          <w:tcPr>
            <w:tcW w:type="dxa" w:w="1728"/>
          </w:tcPr>
          <w:p>
            <w:pPr>
              <w:jc w:val="center"/>
            </w:pPr>
            <w:r>
              <w:t>250</w:t>
            </w:r>
          </w:p>
        </w:tc>
        <w:tc>
          <w:tcPr>
            <w:tcW w:type="dxa" w:w="1728"/>
          </w:tcPr>
          <w:p>
            <w:pPr>
              <w:jc w:val="center"/>
            </w:pPr>
            <w:r>
              <w:t>Pa-s</w:t>
            </w:r>
          </w:p>
        </w:tc>
        <w:tc>
          <w:tcPr>
            <w:tcW w:type="dxa" w:w="1728"/>
          </w:tcPr>
          <w:p>
            <w:pPr>
              <w:jc w:val="center"/>
            </w:pPr>
            <w:r>
              <w:t>Non-Newtonian fluid behavior observed in dynamic state</w:t>
            </w:r>
          </w:p>
        </w:tc>
      </w:tr>
    </w:tbl>
    <w:p>
      <w:r>
        <w:t>Table 4: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Ingredients Group</w:t>
            </w:r>
          </w:p>
        </w:tc>
        <w:tc>
          <w:tcPr>
            <w:tcW w:type="dxa" w:w="2160"/>
          </w:tcPr>
          <w:p>
            <w:pPr>
              <w:jc w:val="center"/>
            </w:pPr>
            <w:r>
              <w:rPr>
                <w:b/>
              </w:rPr>
              <w:t>Viscosity</w:t>
            </w:r>
          </w:p>
        </w:tc>
        <w:tc>
          <w:tcPr>
            <w:tcW w:type="dxa" w:w="2160"/>
          </w:tcPr>
          <w:p>
            <w:pPr>
              <w:jc w:val="center"/>
            </w:pPr>
            <w:r>
              <w:rPr>
                <w:b/>
              </w:rPr>
              <w:t>Units</w:t>
            </w:r>
          </w:p>
        </w:tc>
        <w:tc>
          <w:tcPr>
            <w:tcW w:type="dxa" w:w="2160"/>
          </w:tcPr>
          <w:p>
            <w:pPr>
              <w:jc w:val="center"/>
            </w:pPr>
            <w:r>
              <w:rPr>
                <w:b/>
              </w:rPr>
              <w:t>Irrelevant Details</w:t>
            </w:r>
          </w:p>
        </w:tc>
      </w:tr>
      <w:tr>
        <w:tc>
          <w:tcPr>
            <w:tcW w:type="dxa" w:w="2160"/>
          </w:tcPr>
          <w:p>
            <w:pPr>
              <w:jc w:val="center"/>
            </w:pPr>
            <w:r>
              <w:t>Coconut Oil, Cetyl Alcohol</w:t>
            </w:r>
          </w:p>
        </w:tc>
        <w:tc>
          <w:tcPr>
            <w:tcW w:type="dxa" w:w="2160"/>
          </w:tcPr>
          <w:p>
            <w:pPr>
              <w:jc w:val="center"/>
            </w:pPr>
            <w:r>
              <w:t>5102.36</w:t>
            </w:r>
          </w:p>
        </w:tc>
        <w:tc>
          <w:tcPr>
            <w:tcW w:type="dxa" w:w="2160"/>
          </w:tcPr>
          <w:p>
            <w:pPr>
              <w:jc w:val="center"/>
            </w:pPr>
            <w:r>
              <w:t>cP</w:t>
            </w:r>
          </w:p>
        </w:tc>
        <w:tc>
          <w:tcPr>
            <w:tcW w:type="dxa" w:w="2160"/>
          </w:tcPr>
          <w:p>
            <w:pPr>
              <w:jc w:val="center"/>
            </w:pPr>
            <w:r>
              <w:t>The plants outside the lab are green</w:t>
            </w:r>
          </w:p>
        </w:tc>
      </w:tr>
      <w:tr>
        <w:tc>
          <w:tcPr>
            <w:tcW w:type="dxa" w:w="2160"/>
          </w:tcPr>
          <w:p>
            <w:pPr>
              <w:jc w:val="center"/>
            </w:pPr>
            <w:r>
              <w:t>nan</w:t>
            </w:r>
          </w:p>
        </w:tc>
        <w:tc>
          <w:tcPr>
            <w:tcW w:type="dxa" w:w="2160"/>
          </w:tcPr>
          <w:p>
            <w:pPr>
              <w:jc w:val="center"/>
            </w:pPr>
            <w:r>
              <w:t>nan</w:t>
            </w:r>
          </w:p>
        </w:tc>
        <w:tc>
          <w:tcPr>
            <w:tcW w:type="dxa" w:w="2160"/>
          </w:tcPr>
          <w:p>
            <w:pPr>
              <w:jc w:val="center"/>
            </w:pPr>
            <w:r>
              <w:t>nan</w:t>
            </w:r>
          </w:p>
        </w:tc>
        <w:tc>
          <w:tcPr>
            <w:tcW w:type="dxa" w:w="2160"/>
          </w:tcPr>
          <w:p>
            <w:pPr>
              <w:jc w:val="center"/>
            </w:pPr>
            <w:r>
              <w:t>nan</w:t>
            </w:r>
          </w:p>
        </w:tc>
      </w:tr>
    </w:tbl>
    <w:p>
      <w:r>
        <w:t>Results and Discussion</w:t>
      </w:r>
    </w:p>
    <w:p>
      <w:r>
        <w:t>The analysis presented herein showcases the interaction between various compounds within different mixtures. The use of the FTIR Spectrometer FTIR-8400 highlighted unique absorption bands in the Jojoba Oil and Beeswax mixture, suggesting distinctive chemical interactions. The PCR technique, evaluated using the PCR Machine PCR-96, provided amplification results indicative of specific molecular activity within the Coconut Oil, Cetyl Alcohol, and Glycerin mixture at a consistent cycle threshold (Ct) of 25.</w:t>
      </w:r>
    </w:p>
    <w:p>
      <w:r>
        <w:t>The Microplate Reading, performed at 0.85 OD, showed minimal interactions in the Jojoba Oil and Glycerin mixture, possibly due to minimal sample turbidity. Meanwhile, X-ray diffraction revealed a partially crystalline structure in the Jojoba Oil, Beeswax, and Vitamin E sample, emphasizing the potential stability brought by Vitamin E.</w:t>
      </w:r>
    </w:p>
    <w:p>
      <w:r>
        <w:t>Further, Spectrometry performed on the Coconut Oil and Glycerin pair yielded a peak absorption around 250 nm, exhibiting significant spectral response. When analyzed with the Thermocycler TC-5000, the Jojoba Oil, Gum, and Glycerin mixture displayed a moderate increase in viscosity, affirming the presence of gum as a thickening agent.</w:t>
      </w:r>
    </w:p>
    <w:p>
      <w:r>
        <w:t>Conductivity analysis highlighted the ionic nature of mixtures containing Jojoba Oil and Glycerin, which inferred a robust electrolyte capacity. Rheometry elucidated the complex flow properties of Coconut Oil and Beeswax, revealing non-Newtonian fluid behavior.</w:t>
      </w:r>
    </w:p>
    <w:p>
      <w:r>
        <w:t>Conclusion</w:t>
      </w:r>
    </w:p>
    <w:p>
      <w:r>
        <w:t>This comprehensive lab analysis provides valuable insights into the behavior of various cosmetic and pharmaceutical compound mixtures, offering potential implications for industrial applications. The intricate data gathered through diverse methodologies reinforces the importance of using multi-disciplinary tools for substance evaluation.</w:t>
      </w:r>
    </w:p>
    <w:p>
      <w:r>
        <w:t>The details presented in this report are purposefully complex, requiring careful examination to fully appreciate the nuances associated with each experimental outcome.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