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Laboratory Report: Analysis of Cosmetic Ingredient Mixtures</w:t>
      </w:r>
    </w:p>
    <w:p>
      <w:r>
        <w:t>Introduction</w:t>
      </w:r>
    </w:p>
    <w:p>
      <w:r>
        <w:t>The purpose of this laboratory investigation was to analyze a variety of cosmetic ingredient mixtures using advanced analytical instrumentation. The specific mixtures under examination included combinations of oils, waxes, and glycerin, among other constituents. The objective was to discern their chemical properties using sophisticated equipment.</w:t>
      </w:r>
    </w:p>
    <w:p>
      <w:r>
        <w:t>Equipment and Methods</w:t>
      </w:r>
    </w:p>
    <w:p>
      <w:r>
        <w:t>A diverse range of scientific instruments was utilized, each specialized for certain types of measurements. Key apparatuses employed in this study included the NMR Spectrometer NMR-500, Ion Chromatograph IC-2100, Thermocycler TC-5000, PCR Machine PCR-96, HPLC System HPLC-9000, and the Gas Chromatograph GC-2010. These instruments facilitated detailed analysis of components such as coconut oil, beeswax, glycerin, jojoba oil, gum, and vitamin E.</w:t>
      </w:r>
    </w:p>
    <w:p>
      <w:r>
        <w:t>Observations and Results</w:t>
      </w:r>
    </w:p>
    <w:p>
      <w:r>
        <w:t>Results obtained from the analysis are encapsulated in complex data tables and interwoven narratives to mask straightforward extraction.</w:t>
      </w:r>
    </w:p>
    <w:p>
      <w:r>
        <w:t>Table 1: NMR Spectroscopy of Coconut Oil Mixtures</w:t>
      </w:r>
    </w:p>
    <w:tbl>
      <w:tblPr>
        <w:tblStyle w:val="TableGrid"/>
        <w:tblW w:type="auto" w:w="0"/>
        <w:tblLook w:firstColumn="1" w:firstRow="1" w:lastColumn="0" w:lastRow="0" w:noHBand="0" w:noVBand="1" w:val="04A0"/>
      </w:tblPr>
      <w:tblGrid>
        <w:gridCol w:w="2880"/>
        <w:gridCol w:w="2880"/>
        <w:gridCol w:w="2880"/>
      </w:tblGrid>
      <w:tr>
        <w:tc>
          <w:tcPr>
            <w:tcW w:type="dxa" w:w="2880"/>
          </w:tcPr>
          <w:p>
            <w:pPr>
              <w:jc w:val="center"/>
            </w:pPr>
            <w:r>
              <w:rPr>
                <w:b/>
              </w:rPr>
              <w:t>Instrument</w:t>
            </w:r>
          </w:p>
        </w:tc>
        <w:tc>
          <w:tcPr>
            <w:tcW w:type="dxa" w:w="2880"/>
          </w:tcPr>
          <w:p>
            <w:pPr>
              <w:jc w:val="center"/>
            </w:pPr>
            <w:r>
              <w:rPr>
                <w:b/>
              </w:rPr>
              <w:t>Mixture Components</w:t>
            </w:r>
          </w:p>
        </w:tc>
        <w:tc>
          <w:tcPr>
            <w:tcW w:type="dxa" w:w="2880"/>
          </w:tcPr>
          <w:p>
            <w:pPr>
              <w:jc w:val="center"/>
            </w:pPr>
            <w:r>
              <w:rPr>
                <w:b/>
              </w:rPr>
              <w:t>Observed Chemical Shift (ppm)</w:t>
            </w:r>
          </w:p>
        </w:tc>
      </w:tr>
      <w:tr>
        <w:tc>
          <w:tcPr>
            <w:tcW w:type="dxa" w:w="2880"/>
          </w:tcPr>
          <w:p>
            <w:pPr>
              <w:jc w:val="center"/>
            </w:pPr>
            <w:r>
              <w:t>NMR Spectrometer</w:t>
            </w:r>
          </w:p>
        </w:tc>
        <w:tc>
          <w:tcPr>
            <w:tcW w:type="dxa" w:w="2880"/>
          </w:tcPr>
          <w:p>
            <w:pPr>
              <w:jc w:val="center"/>
            </w:pPr>
            <w:r>
              <w:t>Coconut Oil, Beeswax, Glycerin</w:t>
            </w:r>
          </w:p>
        </w:tc>
        <w:tc>
          <w:tcPr>
            <w:tcW w:type="dxa" w:w="2880"/>
          </w:tcPr>
          <w:p>
            <w:pPr>
              <w:jc w:val="center"/>
            </w:pPr>
            <w:r>
              <w:t>15.7</w:t>
            </w:r>
          </w:p>
        </w:tc>
      </w:tr>
      <w:tr>
        <w:tc>
          <w:tcPr>
            <w:tcW w:type="dxa" w:w="2880"/>
          </w:tcPr>
          <w:p>
            <w:pPr>
              <w:jc w:val="center"/>
            </w:pPr>
            <w:r>
              <w:t>NMR Spectrometer</w:t>
            </w:r>
          </w:p>
        </w:tc>
        <w:tc>
          <w:tcPr>
            <w:tcW w:type="dxa" w:w="2880"/>
          </w:tcPr>
          <w:p>
            <w:pPr>
              <w:jc w:val="center"/>
            </w:pPr>
            <w:r>
              <w:t>Coconut Oil, Glycerin</w:t>
            </w:r>
          </w:p>
        </w:tc>
        <w:tc>
          <w:tcPr>
            <w:tcW w:type="dxa" w:w="2880"/>
          </w:tcPr>
          <w:p>
            <w:pPr>
              <w:jc w:val="center"/>
            </w:pPr>
            <w:r>
              <w:t>3.2</w:t>
            </w:r>
          </w:p>
        </w:tc>
      </w:tr>
    </w:tbl>
    <w:p>
      <w:r>
        <w:t>The chemical shifts observed at 15.7 ppm and 3.2 ppm indicate specific interactions among oils, beeswax, and glycerin, suggestive of potential emulsification properties under cold storage conditions.</w:t>
      </w:r>
    </w:p>
    <w:p>
      <w:r>
        <w:t>Table 2: Ion Chromatography of Oil-Based Mixtures</w:t>
      </w:r>
    </w:p>
    <w:tbl>
      <w:tblPr>
        <w:tblStyle w:val="TableGrid"/>
        <w:tblW w:type="auto" w:w="0"/>
        <w:tblLook w:firstColumn="1" w:firstRow="1" w:lastColumn="0" w:lastRow="0" w:noHBand="0" w:noVBand="1" w:val="04A0"/>
      </w:tblPr>
      <w:tblGrid>
        <w:gridCol w:w="2880"/>
        <w:gridCol w:w="2880"/>
        <w:gridCol w:w="2880"/>
      </w:tblGrid>
      <w:tr>
        <w:tc>
          <w:tcPr>
            <w:tcW w:type="dxa" w:w="2880"/>
          </w:tcPr>
          <w:p>
            <w:pPr>
              <w:jc w:val="center"/>
            </w:pPr>
            <w:r>
              <w:rPr>
                <w:b/>
              </w:rPr>
              <w:t>Instrument</w:t>
            </w:r>
          </w:p>
        </w:tc>
        <w:tc>
          <w:tcPr>
            <w:tcW w:type="dxa" w:w="2880"/>
          </w:tcPr>
          <w:p>
            <w:pPr>
              <w:jc w:val="center"/>
            </w:pPr>
            <w:r>
              <w:rPr>
                <w:b/>
              </w:rPr>
              <w:t>Mixture Components</w:t>
            </w:r>
          </w:p>
        </w:tc>
        <w:tc>
          <w:tcPr>
            <w:tcW w:type="dxa" w:w="2880"/>
          </w:tcPr>
          <w:p>
            <w:pPr>
              <w:jc w:val="center"/>
            </w:pPr>
            <w:r>
              <w:rPr>
                <w:b/>
              </w:rPr>
              <w:t>Ionic Concentration (mM)</w:t>
            </w:r>
          </w:p>
        </w:tc>
      </w:tr>
      <w:tr>
        <w:tc>
          <w:tcPr>
            <w:tcW w:type="dxa" w:w="2880"/>
          </w:tcPr>
          <w:p>
            <w:pPr>
              <w:jc w:val="center"/>
            </w:pPr>
            <w:r>
              <w:t>Ion Chromatograph</w:t>
            </w:r>
          </w:p>
        </w:tc>
        <w:tc>
          <w:tcPr>
            <w:tcW w:type="dxa" w:w="2880"/>
          </w:tcPr>
          <w:p>
            <w:pPr>
              <w:jc w:val="center"/>
            </w:pPr>
            <w:r>
              <w:t>Coconut Oil, Glycerin</w:t>
            </w:r>
          </w:p>
        </w:tc>
        <w:tc>
          <w:tcPr>
            <w:tcW w:type="dxa" w:w="2880"/>
          </w:tcPr>
          <w:p>
            <w:pPr>
              <w:jc w:val="center"/>
            </w:pPr>
            <w:r>
              <w:t>65.3</w:t>
            </w:r>
          </w:p>
        </w:tc>
      </w:tr>
      <w:tr>
        <w:tc>
          <w:tcPr>
            <w:tcW w:type="dxa" w:w="2880"/>
          </w:tcPr>
          <w:p>
            <w:pPr>
              <w:jc w:val="center"/>
            </w:pPr>
            <w:r>
              <w:t>Ion Chromatograph</w:t>
            </w:r>
          </w:p>
        </w:tc>
        <w:tc>
          <w:tcPr>
            <w:tcW w:type="dxa" w:w="2880"/>
          </w:tcPr>
          <w:p>
            <w:pPr>
              <w:jc w:val="center"/>
            </w:pPr>
            <w:r>
              <w:t>Jojoba Oil</w:t>
            </w:r>
          </w:p>
        </w:tc>
        <w:tc>
          <w:tcPr>
            <w:tcW w:type="dxa" w:w="2880"/>
          </w:tcPr>
          <w:p>
            <w:pPr>
              <w:jc w:val="center"/>
            </w:pPr>
            <w:r>
              <w:t>78.9</w:t>
            </w:r>
          </w:p>
        </w:tc>
      </w:tr>
    </w:tbl>
    <w:p>
      <w:r>
        <w:t>The ionic concentration varied significantly between the mixtures, indicating a higher presence of ionizable substances in jojoba oil preparations.</w:t>
      </w:r>
    </w:p>
    <w:p>
      <w:r>
        <w:t>Parallel Observations:</w:t>
      </w:r>
    </w:p>
    <w:p>
      <w:r>
        <w:t>The thermocycling reactions were notable. Specifically, for the Jojoba Oil and Vitamin E compound, a reaction temperature of 72.1°C was recorded, facilitating a unique polymerization dynamic.</w:t>
      </w:r>
    </w:p>
    <w:p>
      <w:r>
        <w:t>Complex Descriptions and Irrelevancies</w:t>
      </w:r>
    </w:p>
    <w:p>
      <w:r>
        <w:t>Serendipitously, the PCR amplification cycle threshold (Ct) at 21.5 for jojoba oil samples revealed intriguing temporal changes, unrelated to the primary assessment goal.</w:t>
      </w:r>
    </w:p>
    <w:p>
      <w:r>
        <w:t>Results - Additional Data</w:t>
      </w:r>
    </w:p>
    <w:p>
      <w:r>
        <w:t>To further obfuscate interpretation, atmospheric pressure and relative humidity were uncategorically logged:</w:t>
      </w:r>
    </w:p>
    <w:p>
      <w:r>
        <w:t>Rheology Analysis:Using the Rheometer R-4500, dynamic viscosity was found at an unusually high 890.5 Pa-s in the Jojoba Oil, Vitamin E mixture, emphasizing potential as a viscous agent.</w:t>
      </w:r>
    </w:p>
    <w:p>
      <w:r>
        <w:t>Thermal Variances:Coconut Oil with Gum mixture exhibited a remarkable thermal transition at 68.0°C as determined by the Thermocycler TC-5000.</w:t>
      </w:r>
    </w:p>
    <w:p>
      <w:r>
        <w:t>Table 3: Gas Chromatography and HPLC Analysis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Instrument</w:t>
            </w:r>
          </w:p>
        </w:tc>
        <w:tc>
          <w:tcPr>
            <w:tcW w:type="dxa" w:w="2160"/>
          </w:tcPr>
          <w:p>
            <w:pPr>
              <w:jc w:val="center"/>
            </w:pPr>
            <w:r>
              <w:rPr>
                <w:b/>
              </w:rPr>
              <w:t>Mixture Components</w:t>
            </w:r>
          </w:p>
        </w:tc>
        <w:tc>
          <w:tcPr>
            <w:tcW w:type="dxa" w:w="2160"/>
          </w:tcPr>
          <w:p>
            <w:pPr>
              <w:jc w:val="center"/>
            </w:pPr>
            <w:r>
              <w:rPr>
                <w:b/>
              </w:rPr>
              <w:t>Measurement</w:t>
            </w:r>
          </w:p>
        </w:tc>
        <w:tc>
          <w:tcPr>
            <w:tcW w:type="dxa" w:w="2160"/>
          </w:tcPr>
          <w:p>
            <w:pPr>
              <w:jc w:val="center"/>
            </w:pPr>
            <w:r>
              <w:rPr>
                <w:b/>
              </w:rPr>
              <w:t>Unit</w:t>
            </w:r>
          </w:p>
        </w:tc>
      </w:tr>
      <w:tr>
        <w:tc>
          <w:tcPr>
            <w:tcW w:type="dxa" w:w="2160"/>
          </w:tcPr>
          <w:p>
            <w:pPr>
              <w:jc w:val="center"/>
            </w:pPr>
            <w:r>
              <w:t>Gas Chromatograph</w:t>
            </w:r>
          </w:p>
        </w:tc>
        <w:tc>
          <w:tcPr>
            <w:tcW w:type="dxa" w:w="2160"/>
          </w:tcPr>
          <w:p>
            <w:pPr>
              <w:jc w:val="center"/>
            </w:pPr>
            <w:r>
              <w:t>Coconut Oil, Beeswax, Glycerin</w:t>
            </w:r>
          </w:p>
        </w:tc>
        <w:tc>
          <w:tcPr>
            <w:tcW w:type="dxa" w:w="2160"/>
          </w:tcPr>
          <w:p>
            <w:pPr>
              <w:jc w:val="center"/>
            </w:pPr>
            <w:r>
              <w:t>412.3</w:t>
            </w:r>
          </w:p>
        </w:tc>
        <w:tc>
          <w:tcPr>
            <w:tcW w:type="dxa" w:w="2160"/>
          </w:tcPr>
          <w:p>
            <w:pPr>
              <w:jc w:val="center"/>
            </w:pPr>
            <w:r>
              <w:t>ppm</w:t>
            </w:r>
          </w:p>
        </w:tc>
      </w:tr>
      <w:tr>
        <w:tc>
          <w:tcPr>
            <w:tcW w:type="dxa" w:w="2160"/>
          </w:tcPr>
          <w:p>
            <w:pPr>
              <w:jc w:val="center"/>
            </w:pPr>
            <w:r>
              <w:t>HPLC System</w:t>
            </w:r>
          </w:p>
        </w:tc>
        <w:tc>
          <w:tcPr>
            <w:tcW w:type="dxa" w:w="2160"/>
          </w:tcPr>
          <w:p>
            <w:pPr>
              <w:jc w:val="center"/>
            </w:pPr>
            <w:r>
              <w:t>Coconut Oil, Gum</w:t>
            </w:r>
          </w:p>
        </w:tc>
        <w:tc>
          <w:tcPr>
            <w:tcW w:type="dxa" w:w="2160"/>
          </w:tcPr>
          <w:p>
            <w:pPr>
              <w:jc w:val="center"/>
            </w:pPr>
            <w:r>
              <w:t>350.5</w:t>
            </w:r>
          </w:p>
        </w:tc>
        <w:tc>
          <w:tcPr>
            <w:tcW w:type="dxa" w:w="2160"/>
          </w:tcPr>
          <w:p>
            <w:pPr>
              <w:jc w:val="center"/>
            </w:pPr>
            <w:r>
              <w:t>mg/L</w:t>
            </w:r>
          </w:p>
        </w:tc>
      </w:tr>
    </w:tbl>
    <w:p>
      <w:r>
        <w:t>The discrepancy in the measurement units phyletically highlights the varying solvent-stationary phase interactions, underscoring the chromatographic diversity seen across varying temperatures and solvent matrices.</w:t>
      </w:r>
    </w:p>
    <w:p>
      <w:r>
        <w:t>Conclusion</w:t>
      </w:r>
    </w:p>
    <w:p>
      <w:r>
        <w:t>This laboratory report presents a comprehensive yet intricately veiled understanding of cosmetic element interactions. The results signify pivotal roles in formulating stable emulsions, enduring rheological characteristics, and predictively model thermal behaviors for enhanced product formulation science. Further study is needed to clarify confounding variances and optimize compositions for consumer applications.</w:t>
      </w:r>
    </w:p>
    <w:p>
      <w:r>
        <w:t>Note: Each synthesis and reaction condition described was precisely informed by the raw measurement outputs. The natural cacophony of coincidental parameter overlaps and ancillary noise should not deter from the veritable richness of the data set.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