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Analysis of Various Oil-Based Mixtures</w:t>
      </w:r>
    </w:p>
    <w:p>
      <w:r>
        <w:t>Report ID:Report_2047</w:t>
      </w:r>
    </w:p>
    <w:p>
      <w:r>
        <w:t>This comprehensive report examines the properties of several oil-based mixtures using a variety of analytical techniques. The study aimed to explore the unique characteristics presented by complex formulations of oils, waxes, and additional constituents.</w:t>
      </w:r>
    </w:p>
    <w:p>
      <w:r>
        <w:t>Overview</w:t>
      </w:r>
    </w:p>
    <w:p>
      <w:r>
        <w:t>An array of instruments was utilized to test the samples, each composed of distinct mixtures of ingredients. The methods employed span across a broad spectrum of scientific principles, ensuring a multi-faceted evaluation of each sample.</w:t>
      </w:r>
    </w:p>
    <w:p>
      <w:r>
        <w:t>Instruments and Techniques</w:t>
      </w:r>
    </w:p>
    <w:p>
      <w:r>
        <w:t>The following instruments were employed in our analysis:</w:t>
        <w:br/>
        <w:t>-Centrifuge X100-Titrator T-905-FTIR Spectrometer FTIR-8400-UV-Vis Spectrophotometer UV-2600-X-Ray Diffractometer XRD-6000-Conductivity Meter CM-215-Viscometer VS-300</w:t>
      </w:r>
    </w:p>
    <w:p>
      <w:r>
        <w:t>Findings and Observations</w:t>
      </w:r>
    </w:p>
    <w:p>
      <w:r>
        <w:t>Centrifugal Separation Analysis</w:t>
      </w:r>
    </w:p>
    <w:p>
      <w:r>
        <w:t>Sample mixtures were analyzed for their ability to withstand centrifugal forces. Interestingly, differing speeds were noted: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Sample Mixture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Speed (RPM)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Cetyl Alcohol, Vitamin 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12000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Almond Oil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13500</w:t>
            </w:r>
          </w:p>
        </w:tc>
      </w:tr>
    </w:tbl>
    <w:p>
      <w:r>
        <w:t>The high RPM values denote significant separation forces, suggesting a robust interaction within each mixture that withstands intense fields.</w:t>
      </w:r>
    </w:p>
    <w:p>
      <w:r>
        <w:t>Titration Measurements</w:t>
      </w:r>
    </w:p>
    <w:p>
      <w:r>
        <w:t>Ion presence within the mixtures was ascertained through titration: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Sample Mixture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Ingredient Variation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Molarity (M)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Jojoba Oil, Gum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5.2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Jojoba Oil, Gum,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Addition of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3.4</w:t>
            </w:r>
          </w:p>
        </w:tc>
      </w:tr>
    </w:tbl>
    <w:p>
      <w:r>
        <w:t>Decreasing molarity upon glycerin addition suggests a consumption or interaction effect, worthy of further exploration.</w:t>
      </w:r>
    </w:p>
    <w:p>
      <w:r>
        <w:t>Spectral Analysis</w:t>
      </w:r>
    </w:p>
    <w:p>
      <w:r>
        <w:t>Various spectroscopic techniques provided insight into molecular compositions: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Sample Mixture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FTIR Spectrometer FTIR-8400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Jojoba Oil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3500 1/cm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FTIR Spectrometer FTIR-8400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Coconut Oil, Beeswax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2500 1/cm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UV-Vis Spectrophotometer UV-2600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Almond Oil, Beeswax,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1.8 Abs</w:t>
            </w:r>
          </w:p>
        </w:tc>
      </w:tr>
    </w:tbl>
    <w:p>
      <w:r>
        <w:t>Notably, the FTIR spectra revealed characteristic functional group peaks, prominently observed around 3500 and 2500 1/cm, indicative of specific hydroxyl and aliphatic stretches.</w:t>
      </w:r>
    </w:p>
    <w:p>
      <w:r>
        <w:t>Conductivity and Crystallography</w:t>
      </w:r>
    </w:p>
    <w:p>
      <w:r>
        <w:t>Conductivity and crystalline structure were also noted: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Sample Mixture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X-Ray Diffractometer XRD-6000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Coconut Oil, Beeswax,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110 °C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Conductivity Meter CM-215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Coconut Oil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1500 µS/cm</w:t>
            </w:r>
          </w:p>
        </w:tc>
      </w:tr>
    </w:tbl>
    <w:p>
      <w:r>
        <w:t>The XRD's crystalline peak data at high temperatures and CM's conductivity denote a structured, possibly ordered component within Coconut Oil mixtures.</w:t>
      </w:r>
    </w:p>
    <w:p>
      <w:r>
        <w:t>Viscosity Analysis</w:t>
      </w:r>
    </w:p>
    <w:p>
      <w:r>
        <w:t>We measured viscosity to understand flow characteristics: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Sample Mixture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Viscosity (cP)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Vitamin 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2370.9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Almond Oil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7443.51</w:t>
            </w:r>
          </w:p>
        </w:tc>
      </w:tr>
    </w:tbl>
    <w:p>
      <w:r>
        <w:t>The notably high-value readings signify differing viscous behavior in oil mixtures—which are dependent on composition ratios and molecular weights.</w:t>
      </w:r>
    </w:p>
    <w:p>
      <w:r>
        <w:t>Conclusion</w:t>
      </w:r>
    </w:p>
    <w:p>
      <w:r>
        <w:t>The study embarked on elucidating thermophysical and chemical phenomena in these rich oil-based matrices.Observations were multifaceted, demonstrating the dependence of physical attributes on molecular architecture peculiar to each sample tested.</w:t>
      </w:r>
    </w:p>
    <w:p>
      <w:r>
        <w:t>Further studies may focus on isolating each synergistic effect to develop more efficient oil products. Such work can facilitate advancements in areas as varied as cosmetics, pharmaceuticals, and food sciences.</w:t>
      </w:r>
    </w:p>
    <w:p>
      <w:r>
        <w:t>(Note: Some data such as irrelevant anecdotal introduction in the analysis was intentionally omitted to preserve coherence yet complexity in line with advanced reporting conventions.)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