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2113</w:t>
      </w:r>
    </w:p>
    <w:p>
      <w:r>
        <w:t>Introduction</w:t>
      </w:r>
    </w:p>
    <w:p>
      <w:r>
        <w:t>In the pursuit of understanding the rheological and chemical properties of various oil-based mixtures, a series of experiments were conducted utilizing advanced analytical equipment. Each test sample was prepared with specific combinations of ingredients, tested under controlled conditions using diverse instrumentation. The experiments were carried out with the aim of characterizing the mechanical, optical, and molecular properties of these mixtures through sophisticated analysis techniques.</w:t>
      </w:r>
    </w:p>
    <w:p>
      <w:r>
        <w:t>Equipment and Methods</w:t>
      </w:r>
    </w:p>
    <w:p>
      <w:r>
        <w:t>The following advanced analytical instruments were employed in this study:</w:t>
      </w:r>
    </w:p>
    <w:p>
      <w:r>
        <w:t>Observations and Results</w:t>
      </w:r>
    </w:p>
    <w:p>
      <w:r>
        <w:t>Rheological Analysis</w:t>
      </w:r>
    </w:p>
    <w:p>
      <w:r>
        <w:t>A rheological study ofAlmond Oilmixtures was conducted using the Rheometer R-4500:</w:t>
      </w:r>
    </w:p>
    <w:p>
      <w:r>
        <w:t>Optical Density Measurements</w:t>
      </w:r>
    </w:p>
    <w:p>
      <w:r>
        <w:t>Utilizing the Microplate Reader MRX:</w:t>
      </w:r>
    </w:p>
    <w:p>
      <w:r>
        <w:t>Chromatographic and Spectroscopic Analysis</w:t>
      </w:r>
    </w:p>
    <w:p>
      <w:r>
        <w:t>Through Gas Chromatograph GC-2010:</w:t>
      </w:r>
    </w:p>
    <w:p>
      <w:r>
        <w:t>Using the FTIR Spectrometer FTIR-8400: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2113-1</w:t>
            </w:r>
          </w:p>
        </w:tc>
        <w:tc>
          <w:tcPr>
            <w:tcW w:type="dxa" w:w="1728"/>
          </w:tcPr>
          <w:p>
            <w:pPr>
              <w:jc w:val="center"/>
            </w:pPr>
            <w:r>
              <w:t>Rheometer R-4500</w:t>
            </w:r>
          </w:p>
        </w:tc>
        <w:tc>
          <w:tcPr>
            <w:tcW w:type="dxa" w:w="1728"/>
          </w:tcPr>
          <w:p>
            <w:pPr>
              <w:jc w:val="center"/>
            </w:pPr>
            <w:r>
              <w:t>Almond Oil</w:t>
            </w:r>
          </w:p>
        </w:tc>
        <w:tc>
          <w:tcPr>
            <w:tcW w:type="dxa" w:w="1728"/>
          </w:tcPr>
          <w:p>
            <w:pPr>
              <w:jc w:val="center"/>
            </w:pPr>
            <w:r>
              <w:t>0.5</w:t>
            </w:r>
          </w:p>
        </w:tc>
        <w:tc>
          <w:tcPr>
            <w:tcW w:type="dxa" w:w="1728"/>
          </w:tcPr>
          <w:p>
            <w:pPr>
              <w:jc w:val="center"/>
            </w:pPr>
            <w:r>
              <w:t>Pa-s</w:t>
            </w:r>
          </w:p>
        </w:tc>
      </w:tr>
      <w:tr>
        <w:tc>
          <w:tcPr>
            <w:tcW w:type="dxa" w:w="1728"/>
          </w:tcPr>
          <w:p>
            <w:pPr>
              <w:jc w:val="center"/>
            </w:pPr>
            <w:r>
              <w:t>2113-2</w:t>
            </w:r>
          </w:p>
        </w:tc>
        <w:tc>
          <w:tcPr>
            <w:tcW w:type="dxa" w:w="1728"/>
          </w:tcPr>
          <w:p>
            <w:pPr>
              <w:jc w:val="center"/>
            </w:pPr>
            <w:r>
              <w:t>Microplate Reader MRX</w:t>
            </w:r>
          </w:p>
        </w:tc>
        <w:tc>
          <w:tcPr>
            <w:tcW w:type="dxa" w:w="1728"/>
          </w:tcPr>
          <w:p>
            <w:pPr>
              <w:jc w:val="center"/>
            </w:pPr>
            <w:r>
              <w:t>Coconut Oil, Cetyl Alcohol</w:t>
            </w:r>
          </w:p>
        </w:tc>
        <w:tc>
          <w:tcPr>
            <w:tcW w:type="dxa" w:w="1728"/>
          </w:tcPr>
          <w:p>
            <w:pPr>
              <w:jc w:val="center"/>
            </w:pPr>
            <w:r>
              <w:t>2.2</w:t>
            </w:r>
          </w:p>
        </w:tc>
        <w:tc>
          <w:tcPr>
            <w:tcW w:type="dxa" w:w="1728"/>
          </w:tcPr>
          <w:p>
            <w:pPr>
              <w:jc w:val="center"/>
            </w:pPr>
            <w:r>
              <w:t>OD</w:t>
            </w:r>
          </w:p>
        </w:tc>
      </w:tr>
      <w:tr>
        <w:tc>
          <w:tcPr>
            <w:tcW w:type="dxa" w:w="1728"/>
          </w:tcPr>
          <w:p>
            <w:pPr>
              <w:jc w:val="center"/>
            </w:pPr>
            <w:r>
              <w:t>2113-3</w:t>
            </w:r>
          </w:p>
        </w:tc>
        <w:tc>
          <w:tcPr>
            <w:tcW w:type="dxa" w:w="1728"/>
          </w:tcPr>
          <w:p>
            <w:pPr>
              <w:jc w:val="center"/>
            </w:pPr>
            <w:r>
              <w:t>Gas Chromatograph GC-2010</w:t>
            </w:r>
          </w:p>
        </w:tc>
        <w:tc>
          <w:tcPr>
            <w:tcW w:type="dxa" w:w="1728"/>
          </w:tcPr>
          <w:p>
            <w:pPr>
              <w:jc w:val="center"/>
            </w:pPr>
            <w:r>
              <w:t>Coconut Oil, Beeswax</w:t>
            </w:r>
          </w:p>
        </w:tc>
        <w:tc>
          <w:tcPr>
            <w:tcW w:type="dxa" w:w="1728"/>
          </w:tcPr>
          <w:p>
            <w:pPr>
              <w:jc w:val="center"/>
            </w:pPr>
            <w:r>
              <w:t>250.0</w:t>
            </w:r>
          </w:p>
        </w:tc>
        <w:tc>
          <w:tcPr>
            <w:tcW w:type="dxa" w:w="1728"/>
          </w:tcPr>
          <w:p>
            <w:pPr>
              <w:jc w:val="center"/>
            </w:pPr>
            <w:r>
              <w:t>ppm</w:t>
            </w:r>
          </w:p>
        </w:tc>
      </w:tr>
      <w:tr>
        <w:tc>
          <w:tcPr>
            <w:tcW w:type="dxa" w:w="1728"/>
          </w:tcPr>
          <w:p>
            <w:pPr>
              <w:jc w:val="center"/>
            </w:pPr>
            <w:r>
              <w:t>2113-4</w:t>
            </w:r>
          </w:p>
        </w:tc>
        <w:tc>
          <w:tcPr>
            <w:tcW w:type="dxa" w:w="1728"/>
          </w:tcPr>
          <w:p>
            <w:pPr>
              <w:jc w:val="center"/>
            </w:pPr>
            <w:r>
              <w:t>FTIR Spectrometer FTIR-8400</w:t>
            </w:r>
          </w:p>
        </w:tc>
        <w:tc>
          <w:tcPr>
            <w:tcW w:type="dxa" w:w="1728"/>
          </w:tcPr>
          <w:p>
            <w:pPr>
              <w:jc w:val="center"/>
            </w:pPr>
            <w:r>
              <w:t>Coconut Oil, Beeswax, Glycerin</w:t>
            </w:r>
          </w:p>
        </w:tc>
        <w:tc>
          <w:tcPr>
            <w:tcW w:type="dxa" w:w="1728"/>
          </w:tcPr>
          <w:p>
            <w:pPr>
              <w:jc w:val="center"/>
            </w:pPr>
            <w:r>
              <w:t>950.0</w:t>
            </w:r>
          </w:p>
        </w:tc>
        <w:tc>
          <w:tcPr>
            <w:tcW w:type="dxa" w:w="1728"/>
          </w:tcPr>
          <w:p>
            <w:pPr>
              <w:jc w:val="center"/>
            </w:pPr>
            <w:r>
              <w:t>1/cm</w:t>
            </w:r>
          </w:p>
        </w:tc>
      </w:tr>
      <w:tr>
        <w:tc>
          <w:tcPr>
            <w:tcW w:type="dxa" w:w="1728"/>
          </w:tcPr>
          <w:p>
            <w:pPr>
              <w:jc w:val="center"/>
            </w:pPr>
            <w:r>
              <w:t>2113-5</w:t>
            </w:r>
          </w:p>
        </w:tc>
        <w:tc>
          <w:tcPr>
            <w:tcW w:type="dxa" w:w="1728"/>
          </w:tcPr>
          <w:p>
            <w:pPr>
              <w:jc w:val="center"/>
            </w:pPr>
            <w:r>
              <w:t>Four Ball FB-1000</w:t>
            </w:r>
          </w:p>
        </w:tc>
        <w:tc>
          <w:tcPr>
            <w:tcW w:type="dxa" w:w="1728"/>
          </w:tcPr>
          <w:p>
            <w:pPr>
              <w:jc w:val="center"/>
            </w:pPr>
            <w:r>
              <w:t>Coconut Oil, Glycerin</w:t>
            </w:r>
          </w:p>
        </w:tc>
        <w:tc>
          <w:tcPr>
            <w:tcW w:type="dxa" w:w="1728"/>
          </w:tcPr>
          <w:p>
            <w:pPr>
              <w:jc w:val="center"/>
            </w:pPr>
            <w:r>
              <w:t>0.75</w:t>
            </w:r>
          </w:p>
        </w:tc>
        <w:tc>
          <w:tcPr>
            <w:tcW w:type="dxa" w:w="1728"/>
          </w:tcPr>
          <w:p>
            <w:pPr>
              <w:jc w:val="center"/>
            </w:pPr>
            <w:r>
              <w:t>mm</w:t>
            </w:r>
          </w:p>
        </w:tc>
      </w:tr>
    </w:tbl>
    <w:p>
      <w:r>
        <w:t>Additional Mechanical and Thermal Properties</w:t>
      </w:r>
    </w:p>
    <w:p>
      <w:r>
        <w:t>X-Ray analysis with XRD-6000:</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 Combination</w:t>
            </w:r>
          </w:p>
        </w:tc>
        <w:tc>
          <w:tcPr>
            <w:tcW w:type="dxa" w:w="2880"/>
          </w:tcPr>
          <w:p>
            <w:pPr>
              <w:jc w:val="center"/>
            </w:pPr>
            <w:r>
              <w:rPr>
                <w:b/>
              </w:rPr>
              <w:t>Tested Property</w:t>
            </w:r>
          </w:p>
        </w:tc>
        <w:tc>
          <w:tcPr>
            <w:tcW w:type="dxa" w:w="2880"/>
          </w:tcPr>
          <w:p>
            <w:pPr>
              <w:jc w:val="center"/>
            </w:pPr>
            <w:r>
              <w:rPr>
                <w:b/>
              </w:rPr>
              <w:t>Value</w:t>
            </w:r>
          </w:p>
        </w:tc>
      </w:tr>
      <w:tr>
        <w:tc>
          <w:tcPr>
            <w:tcW w:type="dxa" w:w="2880"/>
          </w:tcPr>
          <w:p>
            <w:pPr>
              <w:jc w:val="center"/>
            </w:pPr>
            <w:r>
              <w:t>Coconut Oil, Glycerin</w:t>
            </w:r>
          </w:p>
        </w:tc>
        <w:tc>
          <w:tcPr>
            <w:tcW w:type="dxa" w:w="2880"/>
          </w:tcPr>
          <w:p>
            <w:pPr>
              <w:jc w:val="center"/>
            </w:pPr>
            <w:r>
              <w:t>Wear scar diameter</w:t>
            </w:r>
          </w:p>
        </w:tc>
        <w:tc>
          <w:tcPr>
            <w:tcW w:type="dxa" w:w="2880"/>
          </w:tcPr>
          <w:p>
            <w:pPr>
              <w:jc w:val="center"/>
            </w:pPr>
            <w:r>
              <w:t>0.750 mm</w:t>
            </w:r>
          </w:p>
        </w:tc>
      </w:tr>
      <w:tr>
        <w:tc>
          <w:tcPr>
            <w:tcW w:type="dxa" w:w="2880"/>
          </w:tcPr>
          <w:p>
            <w:pPr>
              <w:jc w:val="center"/>
            </w:pPr>
            <w:r>
              <w:t>Coconut Oil, Cetyl Alcohol, Glycerin</w:t>
            </w:r>
          </w:p>
        </w:tc>
        <w:tc>
          <w:tcPr>
            <w:tcW w:type="dxa" w:w="2880"/>
          </w:tcPr>
          <w:p>
            <w:pPr>
              <w:jc w:val="center"/>
            </w:pPr>
            <w:r>
              <w:t>Thermal Stability</w:t>
            </w:r>
          </w:p>
        </w:tc>
        <w:tc>
          <w:tcPr>
            <w:tcW w:type="dxa" w:w="2880"/>
          </w:tcPr>
          <w:p>
            <w:pPr>
              <w:jc w:val="center"/>
            </w:pPr>
            <w:r>
              <w:t>140°C</w:t>
            </w:r>
          </w:p>
        </w:tc>
      </w:tr>
    </w:tbl>
    <w:p>
      <w:r>
        <w:t>Viscosity Measurement</w:t>
      </w:r>
    </w:p>
    <w:p>
      <w:r>
        <w:t>Using the Viscometer VS-300:</w:t>
      </w:r>
    </w:p>
    <w:p>
      <w:r>
        <w:t>Irrelevant Observations</w:t>
      </w:r>
    </w:p>
    <w:p>
      <w:r>
        <w:t>During the tests, peculiar observations included unexpected bubbling during the initial phase of spectroscopic analysis, which was later attributed to ambient temperature fluctuations unrelated to the experiment's goals. Similarly, a power fluctuation briefly delayed the XRD measurement, however, this did not impact the final dataset.</w:t>
      </w:r>
    </w:p>
    <w:p>
      <w:r>
        <w:t>Discussion</w:t>
      </w:r>
    </w:p>
    <w:p>
      <w:r>
        <w:t>The varied properties observed across different mixtures highlight the critical role of component interactions.Almond Oilmixtures displayed significant thickening when combined withGum, a behavior crucial for applications requiring viscosity control. The high optical density ofJojoba Oil, Beeswaxmixtures could suggest potential use in opaque emulsions. Furthermore, the chromatographic analysis provided insight into the volatile content, revealing applications in aroma profile studies.</w:t>
      </w:r>
    </w:p>
    <w:p>
      <w:r>
        <w:t>Conclusion</w:t>
      </w:r>
    </w:p>
    <w:p>
      <w:r>
        <w:t>The diversity in our results showcases the complex interactions within oil-based mixtures and, through the use of various analytical techniques, highlights the ability to tailor product characteristics for specific applications. Future studies may further explore these combinations to enhance knowledge of formulation science.</w:t>
      </w:r>
    </w:p>
    <w:p>
      <w:r>
        <w:t>Note: This report contains confidential data; ensure appropriate confidentiality measures are in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