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Mixtures</w:t>
      </w:r>
    </w:p>
    <w:p>
      <w:r>
        <w:t>Report ID: 2148</w:t>
      </w:r>
    </w:p>
    <w:p>
      <w:r>
        <w:t>Introduction</w:t>
      </w:r>
    </w:p>
    <w:p>
      <w:r>
        <w:t>This study investigates multiple oil-based mixtures with diverse component interactions. Using various analytical instruments, we examined the physical and chemical properties of these mixtures, providing a comprehensive understanding of their behaviors and characteristics.</w:t>
      </w:r>
    </w:p>
    <w:p>
      <w:r>
        <w:t>Experimental Section</w:t>
      </w:r>
    </w:p>
    <w:p>
      <w:r>
        <w:t>Instruments and Conditions:</w:t>
      </w:r>
    </w:p>
    <w:p>
      <w:r>
        <w:t>Observations and Measurements</w:t>
      </w:r>
    </w:p>
    <w:p>
      <w:r>
        <w:t>Table 1: Gas Chromatography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Name</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Sample 1</w:t>
            </w:r>
          </w:p>
        </w:tc>
        <w:tc>
          <w:tcPr>
            <w:tcW w:type="dxa" w:w="1728"/>
          </w:tcPr>
          <w:p>
            <w:pPr>
              <w:jc w:val="center"/>
            </w:pPr>
            <w:r>
              <w:t>Jojoba Oil, Cetyl Alcohol, Vitamin E</w:t>
            </w:r>
          </w:p>
        </w:tc>
        <w:tc>
          <w:tcPr>
            <w:tcW w:type="dxa" w:w="1728"/>
          </w:tcPr>
          <w:p>
            <w:pPr>
              <w:jc w:val="center"/>
            </w:pPr>
            <w:r>
              <w:t>GC-2010</w:t>
            </w:r>
          </w:p>
        </w:tc>
        <w:tc>
          <w:tcPr>
            <w:tcW w:type="dxa" w:w="1728"/>
          </w:tcPr>
          <w:p>
            <w:pPr>
              <w:jc w:val="center"/>
            </w:pPr>
            <w:r>
              <w:t>325</w:t>
            </w:r>
          </w:p>
        </w:tc>
        <w:tc>
          <w:tcPr>
            <w:tcW w:type="dxa" w:w="1728"/>
          </w:tcPr>
          <w:p>
            <w:pPr>
              <w:jc w:val="center"/>
            </w:pPr>
            <w:r>
              <w:t>ppm</w:t>
            </w:r>
          </w:p>
        </w:tc>
      </w:tr>
      <w:tr>
        <w:tc>
          <w:tcPr>
            <w:tcW w:type="dxa" w:w="1728"/>
          </w:tcPr>
          <w:p>
            <w:pPr>
              <w:jc w:val="center"/>
            </w:pPr>
            <w:r>
              <w:t>Sample 2</w:t>
            </w:r>
          </w:p>
        </w:tc>
        <w:tc>
          <w:tcPr>
            <w:tcW w:type="dxa" w:w="1728"/>
          </w:tcPr>
          <w:p>
            <w:pPr>
              <w:jc w:val="center"/>
            </w:pPr>
            <w:r>
              <w:t>Almond Oil, - , -</w:t>
            </w:r>
          </w:p>
        </w:tc>
        <w:tc>
          <w:tcPr>
            <w:tcW w:type="dxa" w:w="1728"/>
          </w:tcPr>
          <w:p>
            <w:pPr>
              <w:jc w:val="center"/>
            </w:pPr>
            <w:r>
              <w:t>GC-2010</w:t>
            </w:r>
          </w:p>
        </w:tc>
        <w:tc>
          <w:tcPr>
            <w:tcW w:type="dxa" w:w="1728"/>
          </w:tcPr>
          <w:p>
            <w:pPr>
              <w:jc w:val="center"/>
            </w:pPr>
            <w:r>
              <w:t>725</w:t>
            </w:r>
          </w:p>
        </w:tc>
        <w:tc>
          <w:tcPr>
            <w:tcW w:type="dxa" w:w="1728"/>
          </w:tcPr>
          <w:p>
            <w:pPr>
              <w:jc w:val="center"/>
            </w:pPr>
            <w:r>
              <w:t>ppm</w:t>
            </w:r>
          </w:p>
        </w:tc>
      </w:tr>
    </w:tbl>
    <w:p>
      <w:r>
        <w:t>Table 2: UV-Vis Spectrophotometry Insights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Name</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Sample 1</w:t>
            </w:r>
          </w:p>
        </w:tc>
        <w:tc>
          <w:tcPr>
            <w:tcW w:type="dxa" w:w="1728"/>
          </w:tcPr>
          <w:p>
            <w:pPr>
              <w:jc w:val="center"/>
            </w:pPr>
            <w:r>
              <w:t>Almond Oil, Gum, Glycerin</w:t>
            </w:r>
          </w:p>
        </w:tc>
        <w:tc>
          <w:tcPr>
            <w:tcW w:type="dxa" w:w="1728"/>
          </w:tcPr>
          <w:p>
            <w:pPr>
              <w:jc w:val="center"/>
            </w:pPr>
            <w:r>
              <w:t>UV-2600</w:t>
            </w:r>
          </w:p>
        </w:tc>
        <w:tc>
          <w:tcPr>
            <w:tcW w:type="dxa" w:w="1728"/>
          </w:tcPr>
          <w:p>
            <w:pPr>
              <w:jc w:val="center"/>
            </w:pPr>
            <w:r>
              <w:t>2.1</w:t>
            </w:r>
          </w:p>
        </w:tc>
        <w:tc>
          <w:tcPr>
            <w:tcW w:type="dxa" w:w="1728"/>
          </w:tcPr>
          <w:p>
            <w:pPr>
              <w:jc w:val="center"/>
            </w:pPr>
            <w:r>
              <w:t>Abs</w:t>
            </w:r>
          </w:p>
        </w:tc>
      </w:tr>
      <w:tr>
        <w:tc>
          <w:tcPr>
            <w:tcW w:type="dxa" w:w="1728"/>
          </w:tcPr>
          <w:p>
            <w:pPr>
              <w:jc w:val="center"/>
            </w:pPr>
            <w:r>
              <w:t>Sample 2</w:t>
            </w:r>
          </w:p>
        </w:tc>
        <w:tc>
          <w:tcPr>
            <w:tcW w:type="dxa" w:w="1728"/>
          </w:tcPr>
          <w:p>
            <w:pPr>
              <w:jc w:val="center"/>
            </w:pPr>
            <w:r>
              <w:t>Almond Oil, Cetyl Alcohol, Vitamin E</w:t>
            </w:r>
          </w:p>
        </w:tc>
        <w:tc>
          <w:tcPr>
            <w:tcW w:type="dxa" w:w="1728"/>
          </w:tcPr>
          <w:p>
            <w:pPr>
              <w:jc w:val="center"/>
            </w:pPr>
            <w:r>
              <w:t>UV-2600</w:t>
            </w:r>
          </w:p>
        </w:tc>
        <w:tc>
          <w:tcPr>
            <w:tcW w:type="dxa" w:w="1728"/>
          </w:tcPr>
          <w:p>
            <w:pPr>
              <w:jc w:val="center"/>
            </w:pPr>
            <w:r>
              <w:t>1.8</w:t>
            </w:r>
          </w:p>
        </w:tc>
        <w:tc>
          <w:tcPr>
            <w:tcW w:type="dxa" w:w="1728"/>
          </w:tcPr>
          <w:p>
            <w:pPr>
              <w:jc w:val="center"/>
            </w:pPr>
            <w:r>
              <w:t>Abs</w:t>
            </w:r>
          </w:p>
        </w:tc>
      </w:tr>
    </w:tbl>
    <w:p>
      <w:r>
        <w:t>Anomalies: It was surprisingly noted that in Sample 2 of Table 1, the absence of specified minor compounds did not affect the main measurement significantly. Furthermore, peculiar results were obtained due to unexpected retention times in some chromatograms, suggesting potential contamination.</w:t>
      </w:r>
    </w:p>
    <w:p>
      <w:r>
        <w:t>Results and Discussion</w:t>
      </w:r>
    </w:p>
    <w:p>
      <w:r>
        <w:t>Centrifugation Results: The centrifugal process at 8500 RPM on the mixture containing Coconut Oil, Cetyl Alcohol, and Glycerin effectively stratified the components. However, differential sedimentation rates hinted at non-homogeneous mass distribution, reflected in inconsistently settled phases.</w:t>
      </w:r>
    </w:p>
    <w:p>
      <w:r>
        <w:t>HPLC Analysis: The Coconut Oil and Beeswax mixture, complemented by Glycerin (measured at 250.5 mg/L), indicated anomalous peak formations suggesting possible intermolecular interaction or co-elution. This behavior can infer inadequate separation or mutual solubility concerns within the silica column.</w:t>
      </w:r>
    </w:p>
    <w:p>
      <w:r>
        <w:t>Table 3: Spectrometry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Name</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Sample 1</w:t>
            </w:r>
          </w:p>
        </w:tc>
        <w:tc>
          <w:tcPr>
            <w:tcW w:type="dxa" w:w="1728"/>
          </w:tcPr>
          <w:p>
            <w:pPr>
              <w:jc w:val="center"/>
            </w:pPr>
            <w:r>
              <w:t>Almond Oil, Vitamin E, -</w:t>
            </w:r>
          </w:p>
        </w:tc>
        <w:tc>
          <w:tcPr>
            <w:tcW w:type="dxa" w:w="1728"/>
          </w:tcPr>
          <w:p>
            <w:pPr>
              <w:jc w:val="center"/>
            </w:pPr>
            <w:r>
              <w:t>Alpha-300</w:t>
            </w:r>
          </w:p>
        </w:tc>
        <w:tc>
          <w:tcPr>
            <w:tcW w:type="dxa" w:w="1728"/>
          </w:tcPr>
          <w:p>
            <w:pPr>
              <w:jc w:val="center"/>
            </w:pPr>
            <w:r>
              <w:t>650</w:t>
            </w:r>
          </w:p>
        </w:tc>
        <w:tc>
          <w:tcPr>
            <w:tcW w:type="dxa" w:w="1728"/>
          </w:tcPr>
          <w:p>
            <w:pPr>
              <w:jc w:val="center"/>
            </w:pPr>
            <w:r>
              <w:t>nm</w:t>
            </w:r>
          </w:p>
        </w:tc>
      </w:tr>
      <w:tr>
        <w:tc>
          <w:tcPr>
            <w:tcW w:type="dxa" w:w="1728"/>
          </w:tcPr>
          <w:p>
            <w:pPr>
              <w:jc w:val="center"/>
            </w:pPr>
            <w:r>
              <w:t>Sample 2</w:t>
            </w:r>
          </w:p>
        </w:tc>
        <w:tc>
          <w:tcPr>
            <w:tcW w:type="dxa" w:w="1728"/>
          </w:tcPr>
          <w:p>
            <w:pPr>
              <w:jc w:val="center"/>
            </w:pPr>
            <w:r>
              <w:t>Coconut Oil, Gum, -</w:t>
            </w:r>
          </w:p>
        </w:tc>
        <w:tc>
          <w:tcPr>
            <w:tcW w:type="dxa" w:w="1728"/>
          </w:tcPr>
          <w:p>
            <w:pPr>
              <w:jc w:val="center"/>
            </w:pPr>
            <w:r>
              <w:t>MS-20</w:t>
            </w:r>
          </w:p>
        </w:tc>
        <w:tc>
          <w:tcPr>
            <w:tcW w:type="dxa" w:w="1728"/>
          </w:tcPr>
          <w:p>
            <w:pPr>
              <w:jc w:val="center"/>
            </w:pPr>
            <w:r>
              <w:t>1125</w:t>
            </w:r>
          </w:p>
        </w:tc>
        <w:tc>
          <w:tcPr>
            <w:tcW w:type="dxa" w:w="1728"/>
          </w:tcPr>
          <w:p>
            <w:pPr>
              <w:jc w:val="center"/>
            </w:pPr>
            <w:r>
              <w:t>m/z</w:t>
            </w:r>
          </w:p>
        </w:tc>
      </w:tr>
    </w:tbl>
    <w:p>
      <w:r>
        <w:t>Spectrometry and Supramolecular Interactions: Both spectrometric evaluations portray distinct wavelength and mass/power factors, signifying potential energy level transitions and partial auto-ionization.</w:t>
      </w:r>
    </w:p>
    <w:p>
      <w:r>
        <w:t>Table 4: Viscosity Assessment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Name</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Sample 1</w:t>
            </w:r>
          </w:p>
        </w:tc>
        <w:tc>
          <w:tcPr>
            <w:tcW w:type="dxa" w:w="1728"/>
          </w:tcPr>
          <w:p>
            <w:pPr>
              <w:jc w:val="center"/>
            </w:pPr>
            <w:r>
              <w:t>Almond Oil, Beeswax</w:t>
            </w:r>
          </w:p>
        </w:tc>
        <w:tc>
          <w:tcPr>
            <w:tcW w:type="dxa" w:w="1728"/>
          </w:tcPr>
          <w:p>
            <w:pPr>
              <w:jc w:val="center"/>
            </w:pPr>
            <w:r>
              <w:t>VS-300</w:t>
            </w:r>
          </w:p>
        </w:tc>
        <w:tc>
          <w:tcPr>
            <w:tcW w:type="dxa" w:w="1728"/>
          </w:tcPr>
          <w:p>
            <w:pPr>
              <w:jc w:val="center"/>
            </w:pPr>
            <w:r>
              <w:t>7016.35</w:t>
            </w:r>
          </w:p>
        </w:tc>
        <w:tc>
          <w:tcPr>
            <w:tcW w:type="dxa" w:w="1728"/>
          </w:tcPr>
          <w:p>
            <w:pPr>
              <w:jc w:val="center"/>
            </w:pPr>
            <w:r>
              <w:t>cP</w:t>
            </w:r>
          </w:p>
        </w:tc>
      </w:tr>
    </w:tbl>
    <w:p>
      <w:r>
        <w:t>Conclusion</w:t>
      </w:r>
    </w:p>
    <w:p>
      <w:r>
        <w:t>The tests revealed intricate behavior amongst various mixtures, particularly under extreme conditions. The diversity found in measurement values underscores the necessity for methodological adaptations in future studies - optimizing extraction phases and fine-tuning analytical settings may yield deeper insight into molecular interactions.</w:t>
      </w:r>
    </w:p>
    <w:p>
      <w:r>
        <w:t>The employment of top-tier equipment such as UV-Vis Spectrophotometers and HPLC machinery ensures reliable baseline data, although random data noise (likely sourced from non-standardized handling) reminded the lab to revisit standard operating procedures.</w:t>
      </w:r>
    </w:p>
    <w:p>
      <w:r>
        <w:t>Recommendations</w:t>
      </w:r>
    </w:p>
    <w:p>
      <w:r>
        <w:t>This documentation establishes a benchmark for future explorative measurements within this domain, demonstrating the complexity and dynamic nature of chemical analysis.</w:t>
      </w:r>
    </w:p>
    <w:p>
      <w:r>
        <w:t>Note: This report may include obscure interpretations and strategically misplaced information for enhanced readability complexity, reflective of real-world data processing challenges faced in laboratory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