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Mixture Analysis and Characterization</w:t>
      </w:r>
    </w:p>
    <w:p>
      <w:r>
        <w:t>Report ID: Report_2216Date: [Date Placeholder]Conducted by: [Name Placeholder]</w:t>
      </w:r>
    </w:p>
    <w:p>
      <w:r>
        <w:t>Introduction</w:t>
      </w:r>
    </w:p>
    <w:p>
      <w:r>
        <w:t>This report delineates the analysis of various mixtures involving oils, waxes, and additives using a suite of precision instruments. The specific aim was to characterize these mixtures in terms of their compositional attributes, stability, and interaction properties. The following analyses were carried out using different state-of-the-art equipment.</w:t>
      </w:r>
    </w:p>
    <w:p>
      <w:r>
        <w:t>Materials and Methodology</w:t>
      </w:r>
    </w:p>
    <w:p>
      <w:r>
        <w:t>Equipment Used</w:t>
      </w:r>
    </w:p>
    <w:p>
      <w:r>
        <w:t>Samples Prepared</w:t>
      </w:r>
    </w:p>
    <w:p>
      <w:r>
        <w:t>For the experiments, mixtures containing Jojoba Oil, Almond Oil, and Coconut Oil were utilized, combined with various additives such as Gum, Beeswax, Cetyl Alcohol, Glycerin, and Vitamin E. These were prepared under controlled laboratory conditions.</w:t>
      </w:r>
    </w:p>
    <w:p>
      <w:r>
        <w:t>Observations and Instrumental Measurements</w:t>
      </w:r>
    </w:p>
    <w:p>
      <w:r>
        <w:t>The investigative process uncovered significant variances across the diverse mixtures. Appreciation of these results lies in understanding each mixture's unique properties.</w:t>
      </w:r>
    </w:p>
    <w:p>
      <w:r>
        <w:t>Table 1: High Performance Liquid Chromatography (HPLC)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Report ID</w:t>
            </w:r>
          </w:p>
        </w:tc>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 (mg/L)</w:t>
            </w:r>
          </w:p>
        </w:tc>
      </w:tr>
      <w:tr>
        <w:tc>
          <w:tcPr>
            <w:tcW w:type="dxa" w:w="2160"/>
          </w:tcPr>
          <w:p>
            <w:pPr>
              <w:jc w:val="center"/>
            </w:pPr>
            <w:r>
              <w:t>2216</w:t>
            </w:r>
          </w:p>
        </w:tc>
        <w:tc>
          <w:tcPr>
            <w:tcW w:type="dxa" w:w="2160"/>
          </w:tcPr>
          <w:p>
            <w:pPr>
              <w:jc w:val="center"/>
            </w:pPr>
            <w:r>
              <w:t>HPLC System HPLC-9000</w:t>
            </w:r>
          </w:p>
        </w:tc>
        <w:tc>
          <w:tcPr>
            <w:tcW w:type="dxa" w:w="2160"/>
          </w:tcPr>
          <w:p>
            <w:pPr>
              <w:jc w:val="center"/>
            </w:pPr>
            <w:r>
              <w:t>Jojoba Oil, Gum</w:t>
            </w:r>
          </w:p>
        </w:tc>
        <w:tc>
          <w:tcPr>
            <w:tcW w:type="dxa" w:w="2160"/>
          </w:tcPr>
          <w:p>
            <w:pPr>
              <w:jc w:val="center"/>
            </w:pPr>
            <w:r>
              <w:t>150.34</w:t>
            </w:r>
          </w:p>
        </w:tc>
      </w:tr>
      <w:tr>
        <w:tc>
          <w:tcPr>
            <w:tcW w:type="dxa" w:w="2160"/>
          </w:tcPr>
          <w:p>
            <w:pPr>
              <w:jc w:val="center"/>
            </w:pPr>
            <w:r>
              <w:t>2216</w:t>
            </w:r>
          </w:p>
        </w:tc>
        <w:tc>
          <w:tcPr>
            <w:tcW w:type="dxa" w:w="2160"/>
          </w:tcPr>
          <w:p>
            <w:pPr>
              <w:jc w:val="center"/>
            </w:pPr>
            <w:r>
              <w:t>HPLC System HPLC-9000</w:t>
            </w:r>
          </w:p>
        </w:tc>
        <w:tc>
          <w:tcPr>
            <w:tcW w:type="dxa" w:w="2160"/>
          </w:tcPr>
          <w:p>
            <w:pPr>
              <w:jc w:val="center"/>
            </w:pPr>
            <w:r>
              <w:t>Coconut Oil, Cetyl Alcohol</w:t>
            </w:r>
          </w:p>
        </w:tc>
        <w:tc>
          <w:tcPr>
            <w:tcW w:type="dxa" w:w="2160"/>
          </w:tcPr>
          <w:p>
            <w:pPr>
              <w:jc w:val="center"/>
            </w:pPr>
            <w:r>
              <w:t>876.32</w:t>
            </w:r>
          </w:p>
        </w:tc>
      </w:tr>
    </w:tbl>
    <w:p>
      <w:r>
        <w:t>Careful examination shows a notable distinction in compound solubility, with Coconut Oil yielding a higher concentrational count when paired with Cetyl Alcohol, indicative of its diverse molecular affinity.</w:t>
      </w:r>
    </w:p>
    <w:p>
      <w:r>
        <w:t>Four Ball Wear Test Results</w:t>
      </w:r>
    </w:p>
    <w:p>
      <w:r>
        <w:t>The wear resistance measures provide insight into potential abrasive characteristics.</w:t>
      </w:r>
    </w:p>
    <w:p>
      <w:r>
        <w:t>Table 2: Four Ball Test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Report ID</w:t>
            </w:r>
          </w:p>
        </w:tc>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 (mm)</w:t>
            </w:r>
          </w:p>
        </w:tc>
      </w:tr>
      <w:tr>
        <w:tc>
          <w:tcPr>
            <w:tcW w:type="dxa" w:w="2160"/>
          </w:tcPr>
          <w:p>
            <w:pPr>
              <w:jc w:val="center"/>
            </w:pPr>
            <w:r>
              <w:t>2216</w:t>
            </w:r>
          </w:p>
        </w:tc>
        <w:tc>
          <w:tcPr>
            <w:tcW w:type="dxa" w:w="2160"/>
          </w:tcPr>
          <w:p>
            <w:pPr>
              <w:jc w:val="center"/>
            </w:pPr>
            <w:r>
              <w:t>Four Ball FB-1000</w:t>
            </w:r>
          </w:p>
        </w:tc>
        <w:tc>
          <w:tcPr>
            <w:tcW w:type="dxa" w:w="2160"/>
          </w:tcPr>
          <w:p>
            <w:pPr>
              <w:jc w:val="center"/>
            </w:pPr>
            <w:r>
              <w:t>Jojoba Oil, Beeswax, Vitamin E</w:t>
            </w:r>
          </w:p>
        </w:tc>
        <w:tc>
          <w:tcPr>
            <w:tcW w:type="dxa" w:w="2160"/>
          </w:tcPr>
          <w:p>
            <w:pPr>
              <w:jc w:val="center"/>
            </w:pPr>
            <w:r>
              <w:t>0.543</w:t>
            </w:r>
          </w:p>
        </w:tc>
      </w:tr>
      <w:tr>
        <w:tc>
          <w:tcPr>
            <w:tcW w:type="dxa" w:w="2160"/>
          </w:tcPr>
          <w:p>
            <w:pPr>
              <w:jc w:val="center"/>
            </w:pPr>
            <w:r>
              <w:t>2216</w:t>
            </w:r>
          </w:p>
        </w:tc>
        <w:tc>
          <w:tcPr>
            <w:tcW w:type="dxa" w:w="2160"/>
          </w:tcPr>
          <w:p>
            <w:pPr>
              <w:jc w:val="center"/>
            </w:pPr>
            <w:r>
              <w:t>Four Ball FB-1000</w:t>
            </w:r>
          </w:p>
        </w:tc>
        <w:tc>
          <w:tcPr>
            <w:tcW w:type="dxa" w:w="2160"/>
          </w:tcPr>
          <w:p>
            <w:pPr>
              <w:jc w:val="center"/>
            </w:pPr>
            <w:r>
              <w:t>Coconut Oil, Beeswax, Vitamin E</w:t>
            </w:r>
          </w:p>
        </w:tc>
        <w:tc>
          <w:tcPr>
            <w:tcW w:type="dxa" w:w="2160"/>
          </w:tcPr>
          <w:p>
            <w:pPr>
              <w:jc w:val="center"/>
            </w:pPr>
            <w:r>
              <w:t>0.789</w:t>
            </w:r>
          </w:p>
        </w:tc>
      </w:tr>
    </w:tbl>
    <w:p>
      <w:r>
        <w:t>The varied results here could inform a divergence in mechanical stability which can be explored for potential benefits in industrial applications.</w:t>
      </w:r>
    </w:p>
    <w:p>
      <w:r>
        <w:t>Spectrophotometric Analysis</w:t>
      </w:r>
    </w:p>
    <w:p>
      <w:r>
        <w:t>The UV-Vis Spectrophotometer was employed to assess the absorbance properties.</w:t>
      </w:r>
    </w:p>
    <w:p>
      <w:r>
        <w:t>Table 3: UV-Vis Spectrophotometry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Report ID</w:t>
            </w:r>
          </w:p>
        </w:tc>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 (Abs)</w:t>
            </w:r>
          </w:p>
        </w:tc>
      </w:tr>
      <w:tr>
        <w:tc>
          <w:tcPr>
            <w:tcW w:type="dxa" w:w="2160"/>
          </w:tcPr>
          <w:p>
            <w:pPr>
              <w:jc w:val="center"/>
            </w:pPr>
            <w:r>
              <w:t>2216</w:t>
            </w:r>
          </w:p>
        </w:tc>
        <w:tc>
          <w:tcPr>
            <w:tcW w:type="dxa" w:w="2160"/>
          </w:tcPr>
          <w:p>
            <w:pPr>
              <w:jc w:val="center"/>
            </w:pPr>
            <w:r>
              <w:t>UV-Vis Spectrophotometer UV-2600</w:t>
            </w:r>
          </w:p>
        </w:tc>
        <w:tc>
          <w:tcPr>
            <w:tcW w:type="dxa" w:w="2160"/>
          </w:tcPr>
          <w:p>
            <w:pPr>
              <w:jc w:val="center"/>
            </w:pPr>
            <w:r>
              <w:t>Almond Oil, Beeswax, Glycerin</w:t>
            </w:r>
          </w:p>
        </w:tc>
        <w:tc>
          <w:tcPr>
            <w:tcW w:type="dxa" w:w="2160"/>
          </w:tcPr>
          <w:p>
            <w:pPr>
              <w:jc w:val="center"/>
            </w:pPr>
            <w:r>
              <w:t>1.85</w:t>
            </w:r>
          </w:p>
        </w:tc>
      </w:tr>
    </w:tbl>
    <w:p>
      <w:r>
        <w:t>Absorbance findings indicate potent interaction potentials between Glycerin and Beeswax in Almond Oil, which may affect optical properties.</w:t>
      </w:r>
    </w:p>
    <w:p>
      <w:r>
        <w:t>Sidebar Note:Historical usage of similar mixtures suggested predominating trends, yet nuanced enhancements imply foreseeable shifts given modern instrumentation peerings.</w:t>
      </w:r>
    </w:p>
    <w:p>
      <w:r>
        <w:t>Additional Analyses</w:t>
      </w:r>
    </w:p>
    <w:p>
      <w:r>
        <w:t>X-Ray Diffractionexamined crystalline structures, revealing sharp peaks in Almond Oil composites:</w:t>
      </w:r>
    </w:p>
    <w:p>
      <w:r>
        <w:t>Table 4: X-Ray Diffractometry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Report ID</w:t>
            </w:r>
          </w:p>
        </w:tc>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 (°C)</w:t>
            </w:r>
          </w:p>
        </w:tc>
      </w:tr>
      <w:tr>
        <w:tc>
          <w:tcPr>
            <w:tcW w:type="dxa" w:w="2160"/>
          </w:tcPr>
          <w:p>
            <w:pPr>
              <w:jc w:val="center"/>
            </w:pPr>
            <w:r>
              <w:t>2216</w:t>
            </w:r>
          </w:p>
        </w:tc>
        <w:tc>
          <w:tcPr>
            <w:tcW w:type="dxa" w:w="2160"/>
          </w:tcPr>
          <w:p>
            <w:pPr>
              <w:jc w:val="center"/>
            </w:pPr>
            <w:r>
              <w:t>XRD-6000</w:t>
            </w:r>
          </w:p>
        </w:tc>
        <w:tc>
          <w:tcPr>
            <w:tcW w:type="dxa" w:w="2160"/>
          </w:tcPr>
          <w:p>
            <w:pPr>
              <w:jc w:val="center"/>
            </w:pPr>
            <w:r>
              <w:t>Almond Oil, Beeswax, Vitamin E</w:t>
            </w:r>
          </w:p>
        </w:tc>
        <w:tc>
          <w:tcPr>
            <w:tcW w:type="dxa" w:w="2160"/>
          </w:tcPr>
          <w:p>
            <w:pPr>
              <w:jc w:val="center"/>
            </w:pPr>
            <w:r>
              <w:t>45.3</w:t>
            </w:r>
          </w:p>
        </w:tc>
      </w:tr>
    </w:tbl>
    <w:p>
      <w:r>
        <w:t>Titration Resultsdisplayed varied molar concentrations suggestive of stabilizing equilibria conducive to formulation efficiency.</w:t>
      </w:r>
    </w:p>
    <w:p>
      <w:r>
        <w:t>Table 5: Titration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Report ID</w:t>
            </w:r>
          </w:p>
        </w:tc>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 (M)</w:t>
            </w:r>
          </w:p>
        </w:tc>
      </w:tr>
      <w:tr>
        <w:tc>
          <w:tcPr>
            <w:tcW w:type="dxa" w:w="2160"/>
          </w:tcPr>
          <w:p>
            <w:pPr>
              <w:jc w:val="center"/>
            </w:pPr>
            <w:r>
              <w:t>2216</w:t>
            </w:r>
          </w:p>
        </w:tc>
        <w:tc>
          <w:tcPr>
            <w:tcW w:type="dxa" w:w="2160"/>
          </w:tcPr>
          <w:p>
            <w:pPr>
              <w:jc w:val="center"/>
            </w:pPr>
            <w:r>
              <w:t>Titrator T-905</w:t>
            </w:r>
          </w:p>
        </w:tc>
        <w:tc>
          <w:tcPr>
            <w:tcW w:type="dxa" w:w="2160"/>
          </w:tcPr>
          <w:p>
            <w:pPr>
              <w:jc w:val="center"/>
            </w:pPr>
            <w:r>
              <w:t>Jojoba Oil, Cetyl Alcohol, Glycerin</w:t>
            </w:r>
          </w:p>
        </w:tc>
        <w:tc>
          <w:tcPr>
            <w:tcW w:type="dxa" w:w="2160"/>
          </w:tcPr>
          <w:p>
            <w:pPr>
              <w:jc w:val="center"/>
            </w:pPr>
            <w:r>
              <w:t>5.67</w:t>
            </w:r>
          </w:p>
        </w:tc>
      </w:tr>
    </w:tbl>
    <w:p>
      <w:r>
        <w:t>A complexity emerged in the interaction studies resulting from precise molecular deposition scaling.</w:t>
      </w:r>
    </w:p>
    <w:p>
      <w:r>
        <w:t>Viscosity Measurementswere essential to understanding fluid dynamics:</w:t>
      </w:r>
    </w:p>
    <w:p>
      <w:r>
        <w:t>Table 6: Viscosity Testing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Report ID</w:t>
            </w:r>
          </w:p>
        </w:tc>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 (cP)</w:t>
            </w:r>
          </w:p>
        </w:tc>
      </w:tr>
      <w:tr>
        <w:tc>
          <w:tcPr>
            <w:tcW w:type="dxa" w:w="2160"/>
          </w:tcPr>
          <w:p>
            <w:pPr>
              <w:jc w:val="center"/>
            </w:pPr>
            <w:r>
              <w:t>2216</w:t>
            </w:r>
          </w:p>
        </w:tc>
        <w:tc>
          <w:tcPr>
            <w:tcW w:type="dxa" w:w="2160"/>
          </w:tcPr>
          <w:p>
            <w:pPr>
              <w:jc w:val="center"/>
            </w:pPr>
            <w:r>
              <w:t>Viscometer VS-300</w:t>
            </w:r>
          </w:p>
        </w:tc>
        <w:tc>
          <w:tcPr>
            <w:tcW w:type="dxa" w:w="2160"/>
          </w:tcPr>
          <w:p>
            <w:pPr>
              <w:jc w:val="center"/>
            </w:pPr>
            <w:r>
              <w:t>Coconut Oil, Gum</w:t>
            </w:r>
          </w:p>
        </w:tc>
        <w:tc>
          <w:tcPr>
            <w:tcW w:type="dxa" w:w="2160"/>
          </w:tcPr>
          <w:p>
            <w:pPr>
              <w:jc w:val="center"/>
            </w:pPr>
            <w:r>
              <w:t>5210.65</w:t>
            </w:r>
          </w:p>
        </w:tc>
      </w:tr>
      <w:tr>
        <w:tc>
          <w:tcPr>
            <w:tcW w:type="dxa" w:w="2160"/>
          </w:tcPr>
          <w:p>
            <w:pPr>
              <w:jc w:val="center"/>
            </w:pPr>
            <w:r>
              <w:t>2216</w:t>
            </w:r>
          </w:p>
        </w:tc>
        <w:tc>
          <w:tcPr>
            <w:tcW w:type="dxa" w:w="2160"/>
          </w:tcPr>
          <w:p>
            <w:pPr>
              <w:jc w:val="center"/>
            </w:pPr>
            <w:r>
              <w:t>Viscometer VS-300</w:t>
            </w:r>
          </w:p>
        </w:tc>
        <w:tc>
          <w:tcPr>
            <w:tcW w:type="dxa" w:w="2160"/>
          </w:tcPr>
          <w:p>
            <w:pPr>
              <w:jc w:val="center"/>
            </w:pPr>
            <w:r>
              <w:t>Coconut Oil</w:t>
            </w:r>
          </w:p>
        </w:tc>
        <w:tc>
          <w:tcPr>
            <w:tcW w:type="dxa" w:w="2160"/>
          </w:tcPr>
          <w:p>
            <w:pPr>
              <w:jc w:val="center"/>
            </w:pPr>
            <w:r>
              <w:t>5064.88</w:t>
            </w:r>
          </w:p>
        </w:tc>
      </w:tr>
    </w:tbl>
    <w:p>
      <w:r>
        <w:t>Conclusive viscosity difference underlines Gum as a substantial thickening agent.</w:t>
      </w:r>
    </w:p>
    <w:p>
      <w:r>
        <w:t>Conclusion</w:t>
      </w:r>
    </w:p>
    <w:p>
      <w:r>
        <w:t>The detailed analyses yield insights into the physical and chemical behaviors of various mixtures. This knowledge supports product development across fields, highlighting formulation potentials where mechanical, optical, and viscosity characteristics are pivotal.</w:t>
      </w:r>
    </w:p>
    <w:p>
      <w:r>
        <w:t>Irrelevant Observation:Curiously, the ambient lab temperature during analyses averaged 22.5°C, which, while standard, contributes negligibly to the overall data interpretation.</w:t>
      </w:r>
    </w:p>
    <w:p>
      <w:r>
        <w:t>Future Work:A focal point for continued research should aim at leveraging these findings towards application-specific designs, paving avenues for material innovation and enhancement in consumer product formulations.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