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2285</w:t>
      </w:r>
    </w:p>
    <w:p>
      <w:r>
        <w:t>Introduction</w:t>
      </w:r>
    </w:p>
    <w:p>
      <w:r>
        <w:t>This report outlines the rigorous testing of various natural oil mixtures using advanced analytical techniques. The aim was to evaluate different properties, such as optical density, pH, structural composition, and others, to understand better the behavior and characteristics of these mixtures.</w:t>
      </w:r>
    </w:p>
    <w:p>
      <w:r>
        <w:t>Materials and Methods</w:t>
      </w:r>
    </w:p>
    <w:p>
      <w:r>
        <w:t>Viscometer VS-300</w:t>
      </w:r>
    </w:p>
    <w:p>
      <w:r>
        <w:t>Samples Tested:</w:t>
      </w:r>
    </w:p>
    <w:p>
      <w:r>
        <w:t>Observations and Results</w:t>
      </w:r>
    </w:p>
    <w:p>
      <w:r>
        <w:t>1.Optical Density Measurement:</w:t>
      </w:r>
    </w:p>
    <w:p>
      <w:r>
        <w:t>2.pH Level Assessment:</w:t>
      </w:r>
    </w:p>
    <w:p>
      <w:r>
        <w:t>Additional Contextual Details:</w:t>
      </w:r>
    </w:p>
    <w:p>
      <w:r>
        <w:t xml:space="preserve">[Random Irrelevance Begin] </w:t>
        <w:br/>
        <w:t>The lab was spacious, with green tiles.</w:t>
        <w:br/>
        <w:t>[Random Irrelevance End]</w:t>
      </w:r>
    </w:p>
    <w:p>
      <w:r>
        <w:t>3.Structural Analysis via FTIR:</w:t>
      </w:r>
    </w:p>
    <w:p>
      <w:r>
        <w:t>4.Nuclear Magnetic Resonance (NMR):</w:t>
      </w:r>
    </w:p>
    <w:p>
      <w:r>
        <w:t>Table 1 – Summary of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Additional Notes</w:t>
            </w:r>
          </w:p>
        </w:tc>
      </w:tr>
      <w:tr>
        <w:tc>
          <w:tcPr>
            <w:tcW w:type="dxa" w:w="1728"/>
          </w:tcPr>
          <w:p>
            <w:pPr>
              <w:jc w:val="center"/>
            </w:pPr>
            <w:r>
              <w:t>Microplate Reader MRX</w:t>
            </w:r>
          </w:p>
        </w:tc>
        <w:tc>
          <w:tcPr>
            <w:tcW w:type="dxa" w:w="1728"/>
          </w:tcPr>
          <w:p>
            <w:pPr>
              <w:jc w:val="center"/>
            </w:pPr>
            <w:r>
              <w:t>Coconut Oil</w:t>
            </w:r>
          </w:p>
        </w:tc>
        <w:tc>
          <w:tcPr>
            <w:tcW w:type="dxa" w:w="1728"/>
          </w:tcPr>
          <w:p>
            <w:pPr>
              <w:jc w:val="center"/>
            </w:pPr>
            <w:r>
              <w:t>3.2</w:t>
            </w:r>
          </w:p>
        </w:tc>
        <w:tc>
          <w:tcPr>
            <w:tcW w:type="dxa" w:w="1728"/>
          </w:tcPr>
          <w:p>
            <w:pPr>
              <w:jc w:val="center"/>
            </w:pPr>
            <w:r>
              <w:t>OD</w:t>
            </w:r>
          </w:p>
        </w:tc>
        <w:tc>
          <w:tcPr>
            <w:tcW w:type="dxa" w:w="1728"/>
          </w:tcPr>
          <w:p>
            <w:pPr>
              <w:jc w:val="center"/>
            </w:pPr>
            <w:r>
              <w:t>Moderate opacity</w:t>
            </w:r>
          </w:p>
        </w:tc>
      </w:tr>
      <w:tr>
        <w:tc>
          <w:tcPr>
            <w:tcW w:type="dxa" w:w="1728"/>
          </w:tcPr>
          <w:p>
            <w:pPr>
              <w:jc w:val="center"/>
            </w:pPr>
            <w:r>
              <w:t>pH Meter PH-700</w:t>
            </w:r>
          </w:p>
        </w:tc>
        <w:tc>
          <w:tcPr>
            <w:tcW w:type="dxa" w:w="1728"/>
          </w:tcPr>
          <w:p>
            <w:pPr>
              <w:jc w:val="center"/>
            </w:pPr>
            <w:r>
              <w:t>Jojoba Oil, Beeswax</w:t>
            </w:r>
          </w:p>
        </w:tc>
        <w:tc>
          <w:tcPr>
            <w:tcW w:type="dxa" w:w="1728"/>
          </w:tcPr>
          <w:p>
            <w:pPr>
              <w:jc w:val="center"/>
            </w:pPr>
            <w:r>
              <w:t>7.1</w:t>
            </w:r>
          </w:p>
        </w:tc>
        <w:tc>
          <w:tcPr>
            <w:tcW w:type="dxa" w:w="1728"/>
          </w:tcPr>
          <w:p>
            <w:pPr>
              <w:jc w:val="center"/>
            </w:pPr>
            <w:r>
              <w:t>pH</w:t>
            </w:r>
          </w:p>
        </w:tc>
        <w:tc>
          <w:tcPr>
            <w:tcW w:type="dxa" w:w="1728"/>
          </w:tcPr>
          <w:p>
            <w:pPr>
              <w:jc w:val="center"/>
            </w:pPr>
            <w:r>
              <w:t>Neutral formulation</w:t>
            </w:r>
          </w:p>
        </w:tc>
      </w:tr>
      <w:tr>
        <w:tc>
          <w:tcPr>
            <w:tcW w:type="dxa" w:w="1728"/>
          </w:tcPr>
          <w:p>
            <w:pPr>
              <w:jc w:val="center"/>
            </w:pPr>
            <w:r>
              <w:t>FTIR Spectrometer FTIR-8400</w:t>
            </w:r>
          </w:p>
        </w:tc>
        <w:tc>
          <w:tcPr>
            <w:tcW w:type="dxa" w:w="1728"/>
          </w:tcPr>
          <w:p>
            <w:pPr>
              <w:jc w:val="center"/>
            </w:pPr>
            <w:r>
              <w:t>Almond Oil, Gum, Glycerin</w:t>
            </w:r>
          </w:p>
        </w:tc>
        <w:tc>
          <w:tcPr>
            <w:tcW w:type="dxa" w:w="1728"/>
          </w:tcPr>
          <w:p>
            <w:pPr>
              <w:jc w:val="center"/>
            </w:pPr>
            <w:r>
              <w:t>1150.0</w:t>
            </w:r>
          </w:p>
        </w:tc>
        <w:tc>
          <w:tcPr>
            <w:tcW w:type="dxa" w:w="1728"/>
          </w:tcPr>
          <w:p>
            <w:pPr>
              <w:jc w:val="center"/>
            </w:pPr>
            <w:r>
              <w:t>1/cm</w:t>
            </w:r>
          </w:p>
        </w:tc>
        <w:tc>
          <w:tcPr>
            <w:tcW w:type="dxa" w:w="1728"/>
          </w:tcPr>
          <w:p>
            <w:pPr>
              <w:jc w:val="center"/>
            </w:pPr>
            <w:r>
              <w:t>Ester bond vibrations</w:t>
            </w:r>
          </w:p>
        </w:tc>
      </w:tr>
      <w:tr>
        <w:tc>
          <w:tcPr>
            <w:tcW w:type="dxa" w:w="1728"/>
          </w:tcPr>
          <w:p>
            <w:pPr>
              <w:jc w:val="center"/>
            </w:pPr>
            <w:r>
              <w:t>NMR Spectrometer NMR-500</w:t>
            </w:r>
          </w:p>
        </w:tc>
        <w:tc>
          <w:tcPr>
            <w:tcW w:type="dxa" w:w="1728"/>
          </w:tcPr>
          <w:p>
            <w:pPr>
              <w:jc w:val="center"/>
            </w:pPr>
            <w:r>
              <w:t>Coconut Oil, Vitamin E</w:t>
            </w:r>
          </w:p>
        </w:tc>
        <w:tc>
          <w:tcPr>
            <w:tcW w:type="dxa" w:w="1728"/>
          </w:tcPr>
          <w:p>
            <w:pPr>
              <w:jc w:val="center"/>
            </w:pPr>
            <w:r>
              <w:t>10.5</w:t>
            </w:r>
          </w:p>
        </w:tc>
        <w:tc>
          <w:tcPr>
            <w:tcW w:type="dxa" w:w="1728"/>
          </w:tcPr>
          <w:p>
            <w:pPr>
              <w:jc w:val="center"/>
            </w:pPr>
            <w:r>
              <w:t>ppm</w:t>
            </w:r>
          </w:p>
        </w:tc>
        <w:tc>
          <w:tcPr>
            <w:tcW w:type="dxa" w:w="1728"/>
          </w:tcPr>
          <w:p>
            <w:pPr>
              <w:jc w:val="center"/>
            </w:pPr>
            <w:r>
              <w:t>Interaction between components</w:t>
            </w:r>
          </w:p>
        </w:tc>
      </w:tr>
    </w:tbl>
    <w:p>
      <w:r>
        <w:t>5.Mass Spectrometry Analysis:</w:t>
      </w:r>
    </w:p>
    <w:p>
      <w:r>
        <w:t xml:space="preserve">[Random Irrelevance Begin] </w:t>
        <w:br/>
        <w:t>The cafeteria is always busy on Wednesdays.</w:t>
        <w:br/>
        <w:t>[Random Irrelevance End]</w:t>
      </w:r>
    </w:p>
    <w:p>
      <w:r>
        <w:t>6.Polymerase Chain Reaction (PCR):</w:t>
      </w:r>
    </w:p>
    <w:p>
      <w:r>
        <w:t>7.Rheological Assessment:</w:t>
      </w:r>
    </w:p>
    <w:p>
      <w:r>
        <w:t>Table 2 – Additional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Observations</w:t>
            </w:r>
          </w:p>
        </w:tc>
      </w:tr>
      <w:tr>
        <w:tc>
          <w:tcPr>
            <w:tcW w:type="dxa" w:w="1728"/>
          </w:tcPr>
          <w:p>
            <w:pPr>
              <w:jc w:val="center"/>
            </w:pPr>
            <w:r>
              <w:t>Mass Spectrometer MS-20</w:t>
            </w:r>
          </w:p>
        </w:tc>
        <w:tc>
          <w:tcPr>
            <w:tcW w:type="dxa" w:w="1728"/>
          </w:tcPr>
          <w:p>
            <w:pPr>
              <w:jc w:val="center"/>
            </w:pPr>
            <w:r>
              <w:t>Jojoba Oil, Gum</w:t>
            </w:r>
          </w:p>
        </w:tc>
        <w:tc>
          <w:tcPr>
            <w:tcW w:type="dxa" w:w="1728"/>
          </w:tcPr>
          <w:p>
            <w:pPr>
              <w:jc w:val="center"/>
            </w:pPr>
            <w:r>
              <w:t>150</w:t>
            </w:r>
          </w:p>
        </w:tc>
        <w:tc>
          <w:tcPr>
            <w:tcW w:type="dxa" w:w="1728"/>
          </w:tcPr>
          <w:p>
            <w:pPr>
              <w:jc w:val="center"/>
            </w:pPr>
            <w:r>
              <w:t>m/z</w:t>
            </w:r>
          </w:p>
        </w:tc>
        <w:tc>
          <w:tcPr>
            <w:tcW w:type="dxa" w:w="1728"/>
          </w:tcPr>
          <w:p>
            <w:pPr>
              <w:jc w:val="center"/>
            </w:pPr>
            <w:r>
              <w:t>Significant acid residue presence</w:t>
            </w:r>
          </w:p>
        </w:tc>
      </w:tr>
      <w:tr>
        <w:tc>
          <w:tcPr>
            <w:tcW w:type="dxa" w:w="1728"/>
          </w:tcPr>
          <w:p>
            <w:pPr>
              <w:jc w:val="center"/>
            </w:pPr>
            <w:r>
              <w:t>PCR Machine PCR-96</w:t>
            </w:r>
          </w:p>
        </w:tc>
        <w:tc>
          <w:tcPr>
            <w:tcW w:type="dxa" w:w="1728"/>
          </w:tcPr>
          <w:p>
            <w:pPr>
              <w:jc w:val="center"/>
            </w:pPr>
            <w:r>
              <w:t>Coconut Oil, Beeswax, Glycerin</w:t>
            </w:r>
          </w:p>
        </w:tc>
        <w:tc>
          <w:tcPr>
            <w:tcW w:type="dxa" w:w="1728"/>
          </w:tcPr>
          <w:p>
            <w:pPr>
              <w:jc w:val="center"/>
            </w:pPr>
            <w:r>
              <w:t>27</w:t>
            </w:r>
          </w:p>
        </w:tc>
        <w:tc>
          <w:tcPr>
            <w:tcW w:type="dxa" w:w="1728"/>
          </w:tcPr>
          <w:p>
            <w:pPr>
              <w:jc w:val="center"/>
            </w:pPr>
            <w:r>
              <w:t>Ct</w:t>
            </w:r>
          </w:p>
        </w:tc>
        <w:tc>
          <w:tcPr>
            <w:tcW w:type="dxa" w:w="1728"/>
          </w:tcPr>
          <w:p>
            <w:pPr>
              <w:jc w:val="center"/>
            </w:pPr>
            <w:r>
              <w:t>Indicates complex mixture</w:t>
            </w:r>
          </w:p>
        </w:tc>
      </w:tr>
      <w:tr>
        <w:tc>
          <w:tcPr>
            <w:tcW w:type="dxa" w:w="1728"/>
          </w:tcPr>
          <w:p>
            <w:pPr>
              <w:jc w:val="center"/>
            </w:pPr>
            <w:r>
              <w:t>Rheometer R-4500</w:t>
            </w:r>
          </w:p>
        </w:tc>
        <w:tc>
          <w:tcPr>
            <w:tcW w:type="dxa" w:w="1728"/>
          </w:tcPr>
          <w:p>
            <w:pPr>
              <w:jc w:val="center"/>
            </w:pPr>
            <w:r>
              <w:t>Jojoba Oil, Cetyl Alcohol</w:t>
            </w:r>
          </w:p>
        </w:tc>
        <w:tc>
          <w:tcPr>
            <w:tcW w:type="dxa" w:w="1728"/>
          </w:tcPr>
          <w:p>
            <w:pPr>
              <w:jc w:val="center"/>
            </w:pPr>
            <w:r>
              <w:t>600</w:t>
            </w:r>
          </w:p>
        </w:tc>
        <w:tc>
          <w:tcPr>
            <w:tcW w:type="dxa" w:w="1728"/>
          </w:tcPr>
          <w:p>
            <w:pPr>
              <w:jc w:val="center"/>
            </w:pPr>
            <w:r>
              <w:t>Pa-s</w:t>
            </w:r>
          </w:p>
        </w:tc>
        <w:tc>
          <w:tcPr>
            <w:tcW w:type="dxa" w:w="1728"/>
          </w:tcPr>
          <w:p>
            <w:pPr>
              <w:jc w:val="center"/>
            </w:pPr>
            <w:r>
              <w:t>Highlights internal friction</w:t>
            </w:r>
          </w:p>
        </w:tc>
      </w:tr>
      <w:tr>
        <w:tc>
          <w:tcPr>
            <w:tcW w:type="dxa" w:w="1728"/>
          </w:tcPr>
          <w:p>
            <w:pPr>
              <w:jc w:val="center"/>
            </w:pPr>
            <w:r>
              <w:t>Conductivity Meter CM-215</w:t>
            </w:r>
          </w:p>
        </w:tc>
        <w:tc>
          <w:tcPr>
            <w:tcW w:type="dxa" w:w="1728"/>
          </w:tcPr>
          <w:p>
            <w:pPr>
              <w:jc w:val="center"/>
            </w:pPr>
            <w:r>
              <w:t>Coconut Oil, Gum, Glycerin</w:t>
            </w:r>
          </w:p>
        </w:tc>
        <w:tc>
          <w:tcPr>
            <w:tcW w:type="dxa" w:w="1728"/>
          </w:tcPr>
          <w:p>
            <w:pPr>
              <w:jc w:val="center"/>
            </w:pPr>
            <w:r>
              <w:t>670</w:t>
            </w:r>
          </w:p>
        </w:tc>
        <w:tc>
          <w:tcPr>
            <w:tcW w:type="dxa" w:w="1728"/>
          </w:tcPr>
          <w:p>
            <w:pPr>
              <w:jc w:val="center"/>
            </w:pPr>
            <w:r>
              <w:t>uS/cm</w:t>
            </w:r>
          </w:p>
        </w:tc>
        <w:tc>
          <w:tcPr>
            <w:tcW w:type="dxa" w:w="1728"/>
          </w:tcPr>
          <w:p>
            <w:pPr>
              <w:jc w:val="center"/>
            </w:pPr>
            <w:r>
              <w:t>Enhanced ionic conductance</w:t>
            </w:r>
          </w:p>
        </w:tc>
      </w:tr>
    </w:tbl>
    <w:p>
      <w:r>
        <w:t>8.Conductance and Viscosity:</w:t>
      </w:r>
    </w:p>
    <w:p>
      <w:r>
        <w:t>Conclusion</w:t>
      </w:r>
    </w:p>
    <w:p>
      <w:r>
        <w:t>The analysis of natural oils with varying additional components has demonstrated varied physical and chemical property characteristics, contingent upon the specific mixtures. The use of different instruments provided a comprehensive insight into these properties, offering valuable data for potential industrial application and product development.</w:t>
      </w:r>
    </w:p>
    <w:p>
      <w:r>
        <w:t>Additional observations across the various techniques utilized highlight the complex interplay of components within the samples investigated.</w:t>
      </w:r>
    </w:p>
    <w:p>
      <w:r>
        <w:t xml:space="preserve">[Random Irrelevance Begin] </w:t>
        <w:br/>
        <w:t>The instruments, while occasionally noisy, operated within expected parameters.</w:t>
        <w:br/>
        <w:t>[Random Irrelevance End]</w:t>
      </w:r>
    </w:p>
    <w:p>
      <w:r>
        <w:t>This intricate lab report delivers a thorough understanding of each sample's properties, offering a challenge to automated data extraction methods due to the detailed interwoven structure of observations and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