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Laboratory Report 2351</w:t>
      </w:r>
    </w:p>
    <w:p>
      <w:r>
        <w:t>Instruments and Methodologies Utilized</w:t>
      </w:r>
    </w:p>
    <w:p>
      <w:r>
        <w:t>In this comprehensive investigation, we explored various formulations utilizing distinct combinations of materials, each evaluated through precise instrumentation. The objective was to assess properties like stability, viscosity, diffraction patterns, and more. Below is an observation of the outcomes from the tests conducted using the provided answer key data, presented in a detailed and intricate manner.</w:t>
      </w:r>
    </w:p>
    <w:p>
      <w:r>
        <w:t>Complex Formulation Testing</w:t>
      </w:r>
    </w:p>
    <w:p>
      <w:r>
        <w:t>Sample Analysis</w:t>
      </w:r>
    </w:p>
    <w:p>
      <w:r>
        <w:t>Observations and Results:- X-Ray Diffraction (XRD) Analysis:View exhibited distinct crystallinity, with a peak intensity recorded at an angle correlating to 45.8 (interpretation index C). The material structure analysis reveals potential applications in pharmaceutical formulations.</w:t>
        <w:br/>
        <w:t xml:space="preserve">   - pH Measurement:The pH value was calibrated to 5.7, indicating mild acidity conducive for topical applications, aligning with the enhanced stability offered by the Jojoba base.</w:t>
        <w:br/>
        <w:t xml:space="preserve">   - Spectrometric Analysis:Absorption peak observed at 320.1 nm reaffirms the photoprotective capabilities contributed by Vitamin E, harmonizing with the optical clarity needed in cosmetic productions.</w:t>
      </w:r>
    </w:p>
    <w:p>
      <w:r>
        <w:t>Observations and Results:- Viscosity and Rheological Properties:The dynamic viscosity measured at 650.5 Pa-s affirms the emollient nature, suggesting excellent moisturizing properties advantageous in dermatological formulations.</w:t>
        <w:br/>
        <w:t xml:space="preserve">   - Optical Density (OD):Recorded OD of 1.7, inferring an inherent light absorption potential of the mixture, pivotal for UV filtering in sun care products.</w:t>
      </w:r>
    </w:p>
    <w:p>
      <w:r>
        <w:t>Observations and Results:- Ct Value:Amplification threshold cycle completed at 25.3, indicating efficient molecular interactions between the lipid components, vital for biochemical assays in nutraceutical applications.</w:t>
      </w:r>
    </w:p>
    <w:p>
      <w:r>
        <w:t>Additional Analysis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Instrument</w:t>
            </w:r>
          </w:p>
        </w:tc>
        <w:tc>
          <w:tcPr>
            <w:tcW w:type="dxa" w:w="2160"/>
          </w:tcPr>
          <w:p>
            <w:pPr>
              <w:jc w:val="center"/>
            </w:pPr>
            <w:r>
              <w:rPr>
                <w:b/>
              </w:rPr>
              <w:t>Sample/Ingredients</w:t>
            </w:r>
          </w:p>
        </w:tc>
        <w:tc>
          <w:tcPr>
            <w:tcW w:type="dxa" w:w="2160"/>
          </w:tcPr>
          <w:p>
            <w:pPr>
              <w:jc w:val="center"/>
            </w:pPr>
            <w:r>
              <w:rPr>
                <w:b/>
              </w:rPr>
              <w:t>Measurement</w:t>
            </w:r>
          </w:p>
        </w:tc>
        <w:tc>
          <w:tcPr>
            <w:tcW w:type="dxa" w:w="2160"/>
          </w:tcPr>
          <w:p>
            <w:pPr>
              <w:jc w:val="center"/>
            </w:pPr>
            <w:r>
              <w:rPr>
                <w:b/>
              </w:rPr>
              <w:t>Units</w:t>
            </w:r>
          </w:p>
        </w:tc>
      </w:tr>
      <w:tr>
        <w:tc>
          <w:tcPr>
            <w:tcW w:type="dxa" w:w="2160"/>
          </w:tcPr>
          <w:p>
            <w:pPr>
              <w:jc w:val="center"/>
            </w:pPr>
            <w:r>
              <w:t>Four Ball FB-1000</w:t>
            </w:r>
          </w:p>
        </w:tc>
        <w:tc>
          <w:tcPr>
            <w:tcW w:type="dxa" w:w="2160"/>
          </w:tcPr>
          <w:p>
            <w:pPr>
              <w:jc w:val="center"/>
            </w:pPr>
            <w:r>
              <w:t>Coconut Oil, Gum, Glycerin</w:t>
            </w:r>
          </w:p>
        </w:tc>
        <w:tc>
          <w:tcPr>
            <w:tcW w:type="dxa" w:w="2160"/>
          </w:tcPr>
          <w:p>
            <w:pPr>
              <w:jc w:val="center"/>
            </w:pPr>
            <w:r>
              <w:t>0.5</w:t>
            </w:r>
          </w:p>
        </w:tc>
        <w:tc>
          <w:tcPr>
            <w:tcW w:type="dxa" w:w="2160"/>
          </w:tcPr>
          <w:p>
            <w:pPr>
              <w:jc w:val="center"/>
            </w:pPr>
            <w:r>
              <w:t>mm</w:t>
            </w:r>
          </w:p>
        </w:tc>
      </w:tr>
      <w:tr>
        <w:tc>
          <w:tcPr>
            <w:tcW w:type="dxa" w:w="2160"/>
          </w:tcPr>
          <w:p>
            <w:pPr>
              <w:jc w:val="center"/>
            </w:pPr>
            <w:r>
              <w:t>Centrifuge X100</w:t>
            </w:r>
          </w:p>
        </w:tc>
        <w:tc>
          <w:tcPr>
            <w:tcW w:type="dxa" w:w="2160"/>
          </w:tcPr>
          <w:p>
            <w:pPr>
              <w:jc w:val="center"/>
            </w:pPr>
            <w:r>
              <w:t>Coconut Oil, Beeswax, Vitamin E</w:t>
            </w:r>
          </w:p>
        </w:tc>
        <w:tc>
          <w:tcPr>
            <w:tcW w:type="dxa" w:w="2160"/>
          </w:tcPr>
          <w:p>
            <w:pPr>
              <w:jc w:val="center"/>
            </w:pPr>
            <w:r>
              <w:t>12000.0</w:t>
            </w:r>
          </w:p>
        </w:tc>
        <w:tc>
          <w:tcPr>
            <w:tcW w:type="dxa" w:w="2160"/>
          </w:tcPr>
          <w:p>
            <w:pPr>
              <w:jc w:val="center"/>
            </w:pPr>
            <w:r>
              <w:t>RPM</w:t>
            </w:r>
          </w:p>
        </w:tc>
      </w:tr>
      <w:tr>
        <w:tc>
          <w:tcPr>
            <w:tcW w:type="dxa" w:w="2160"/>
          </w:tcPr>
          <w:p>
            <w:pPr>
              <w:jc w:val="center"/>
            </w:pPr>
            <w:r>
              <w:t>Viscometer VS-300</w:t>
            </w:r>
          </w:p>
        </w:tc>
        <w:tc>
          <w:tcPr>
            <w:tcW w:type="dxa" w:w="2160"/>
          </w:tcPr>
          <w:p>
            <w:pPr>
              <w:jc w:val="center"/>
            </w:pPr>
            <w:r>
              <w:t>Almond Oil, Vitamin E</w:t>
            </w:r>
          </w:p>
        </w:tc>
        <w:tc>
          <w:tcPr>
            <w:tcW w:type="dxa" w:w="2160"/>
          </w:tcPr>
          <w:p>
            <w:pPr>
              <w:jc w:val="center"/>
            </w:pPr>
            <w:r>
              <w:t>7371.2</w:t>
            </w:r>
          </w:p>
        </w:tc>
        <w:tc>
          <w:tcPr>
            <w:tcW w:type="dxa" w:w="2160"/>
          </w:tcPr>
          <w:p>
            <w:pPr>
              <w:jc w:val="center"/>
            </w:pPr>
            <w:r>
              <w:t>cP</w:t>
            </w:r>
          </w:p>
        </w:tc>
      </w:tr>
      <w:tr>
        <w:tc>
          <w:tcPr>
            <w:tcW w:type="dxa" w:w="2160"/>
          </w:tcPr>
          <w:p>
            <w:pPr>
              <w:jc w:val="center"/>
            </w:pPr>
            <w:r>
              <w:t>Viscometer VS-300</w:t>
            </w:r>
          </w:p>
        </w:tc>
        <w:tc>
          <w:tcPr>
            <w:tcW w:type="dxa" w:w="2160"/>
          </w:tcPr>
          <w:p>
            <w:pPr>
              <w:jc w:val="center"/>
            </w:pPr>
            <w:r>
              <w:t>Coconut Oil</w:t>
            </w:r>
          </w:p>
        </w:tc>
        <w:tc>
          <w:tcPr>
            <w:tcW w:type="dxa" w:w="2160"/>
          </w:tcPr>
          <w:p>
            <w:pPr>
              <w:jc w:val="center"/>
            </w:pPr>
            <w:r>
              <w:t>5152.84</w:t>
            </w:r>
          </w:p>
        </w:tc>
        <w:tc>
          <w:tcPr>
            <w:tcW w:type="dxa" w:w="2160"/>
          </w:tcPr>
          <w:p>
            <w:pPr>
              <w:jc w:val="center"/>
            </w:pPr>
            <w:r>
              <w:t>cP</w:t>
            </w:r>
          </w:p>
        </w:tc>
      </w:tr>
    </w:tbl>
    <w:p>
      <w:r>
        <w:t>Irrelevant Information:</w:t>
      </w:r>
    </w:p>
    <w:p>
      <w:r>
        <w:t>Conclusion</w:t>
      </w:r>
    </w:p>
    <w:p>
      <w:r>
        <w:t>The synthesized mixtures demonstrated a confluence of desirable properties pivotal in diverse industrial applications ranging from cosmetic formulation to molecular diagnostics. Despite challenges like non-standard odour observations, the findings provide crucial insights into the optimization and utility of these complex formulations.</w:t>
      </w:r>
    </w:p>
    <w:p>
      <w:r>
        <w:t>Further investigations could delve into the longitudinal stability of these mixtures under varied environmental stressors, homologous to real-world usage scenarios. However, caution is advised against direct extrapolations given sporadic variances in the environmental setup.</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