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Compound Analysis</w:t>
      </w:r>
    </w:p>
    <w:p>
      <w:r>
        <w:t>Report ID:Report_2367Date Conducted:[Insert Date]Principal Investigator:[Insert Name]Objective:To analyze multiple samples containing various combinations of oils, alcohols, waxes, and other compounds using advanced laboratory equipment to determine chemical properties and behaviors.</w:t>
      </w:r>
    </w:p>
    <w:p>
      <w:r>
        <w:t>Introduction</w:t>
      </w:r>
    </w:p>
    <w:p>
      <w:r>
        <w:t>The present investigation aimed at the characterization of complex mixtures through the employment of diverse analytical techniques. Each test sample involves unique combinations of compounds such as oils, alcohols, and waxes. These compounds are exposed to a variety of analyses including spectrometry, rheometry, and viscometry. This report meticulously details the observations and results from examining mixtures of biochemical significance.</w:t>
      </w:r>
    </w:p>
    <w:p>
      <w:r>
        <w:t>Methodology and Equipment</w:t>
      </w:r>
    </w:p>
    <w:p>
      <w:r>
        <w:t>NMR AnalysisEquipment Used:NMR Spectrometer NMR-500Sample Composition:Almond Oil, Cetyl AlcoholMeasurement:15 ppmNMR spectroscopy was utilized to determine the molecular interactions within the mixture. The low-field signal observed at 15 ppm indicates potential resonance peaks suggesting interactions within unsaturated carbon chains.</w:t>
      </w:r>
    </w:p>
    <w:p>
      <w:r>
        <w:t>PCR AnalysisMachine Used:PCR Machine PCR-96Sample Composition:Almond Oil, Beeswax, GlycerinThermal Cycles Registered:25 CtConsidering PCR’s conventional use in DNA amplification, its application here highlights novel thermal stability and reaction conditions within lipid-based matrices.</w:t>
      </w:r>
    </w:p>
    <w:p>
      <w:r>
        <w:t>RheometryApparatus:Rheometer R-4500Sample Analyzed:Almond Oil, GlycerinViscosity Measurement:480 Pa-sObservations revealed high viscosity attributed to potential hydrogen bonding between glycerin hydroxyl groups and fatty acid chains of the almond oil.</w:t>
      </w:r>
    </w:p>
    <w:p>
      <w:r>
        <w:t>Spectrometric AnalysisDevice:Spectrometer Alpha-300Sample Constituents:Coconut Oil, GumWavelength Noted:800 nmThis spectrometric reading, spanning near-infrared spectrum, suggests prevalent fatty acid ester bonds typical of coconut derivatives.</w:t>
      </w:r>
    </w:p>
    <w:p>
      <w:r>
        <w:t>Results and Discussion</w:t>
      </w:r>
    </w:p>
    <w:p>
      <w:r>
        <w:t>The complex blends exhibited diverse characteristics under different analytical regimes. Data interpretation was based on standard calibration curves and controlled parameter settings.</w:t>
      </w:r>
    </w:p>
    <w:p>
      <w:r>
        <w:t>Table 1: Analytical Data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 Spectrometer NMR-500</w:t>
            </w:r>
          </w:p>
        </w:tc>
        <w:tc>
          <w:tcPr>
            <w:tcW w:type="dxa" w:w="2160"/>
          </w:tcPr>
          <w:p>
            <w:pPr>
              <w:jc w:val="center"/>
            </w:pPr>
            <w:r>
              <w:t>Almond Oil, Cetyl Alcohol</w:t>
            </w:r>
          </w:p>
        </w:tc>
        <w:tc>
          <w:tcPr>
            <w:tcW w:type="dxa" w:w="2160"/>
          </w:tcPr>
          <w:p>
            <w:pPr>
              <w:jc w:val="center"/>
            </w:pPr>
            <w:r>
              <w:t>15</w:t>
            </w:r>
          </w:p>
        </w:tc>
        <w:tc>
          <w:tcPr>
            <w:tcW w:type="dxa" w:w="2160"/>
          </w:tcPr>
          <w:p>
            <w:pPr>
              <w:jc w:val="center"/>
            </w:pPr>
            <w:r>
              <w:t>ppm</w:t>
            </w:r>
          </w:p>
        </w:tc>
      </w:tr>
      <w:tr>
        <w:tc>
          <w:tcPr>
            <w:tcW w:type="dxa" w:w="2160"/>
          </w:tcPr>
          <w:p>
            <w:pPr>
              <w:jc w:val="center"/>
            </w:pPr>
            <w:r>
              <w:t>PCR Machine PCR-96</w:t>
            </w:r>
          </w:p>
        </w:tc>
        <w:tc>
          <w:tcPr>
            <w:tcW w:type="dxa" w:w="2160"/>
          </w:tcPr>
          <w:p>
            <w:pPr>
              <w:jc w:val="center"/>
            </w:pPr>
            <w:r>
              <w:t>Almond Oil, Beeswax, Glycerin</w:t>
            </w:r>
          </w:p>
        </w:tc>
        <w:tc>
          <w:tcPr>
            <w:tcW w:type="dxa" w:w="2160"/>
          </w:tcPr>
          <w:p>
            <w:pPr>
              <w:jc w:val="center"/>
            </w:pPr>
            <w:r>
              <w:t>25</w:t>
            </w:r>
          </w:p>
        </w:tc>
        <w:tc>
          <w:tcPr>
            <w:tcW w:type="dxa" w:w="2160"/>
          </w:tcPr>
          <w:p>
            <w:pPr>
              <w:jc w:val="center"/>
            </w:pPr>
            <w:r>
              <w:t>Ct</w:t>
            </w:r>
          </w:p>
        </w:tc>
      </w:tr>
      <w:tr>
        <w:tc>
          <w:tcPr>
            <w:tcW w:type="dxa" w:w="2160"/>
          </w:tcPr>
          <w:p>
            <w:pPr>
              <w:jc w:val="center"/>
            </w:pPr>
            <w:r>
              <w:t>Rheometer R-4500</w:t>
            </w:r>
          </w:p>
        </w:tc>
        <w:tc>
          <w:tcPr>
            <w:tcW w:type="dxa" w:w="2160"/>
          </w:tcPr>
          <w:p>
            <w:pPr>
              <w:jc w:val="center"/>
            </w:pPr>
            <w:r>
              <w:t>Almond Oil, Glycerin</w:t>
            </w:r>
          </w:p>
        </w:tc>
        <w:tc>
          <w:tcPr>
            <w:tcW w:type="dxa" w:w="2160"/>
          </w:tcPr>
          <w:p>
            <w:pPr>
              <w:jc w:val="center"/>
            </w:pPr>
            <w:r>
              <w:t>480</w:t>
            </w:r>
          </w:p>
        </w:tc>
        <w:tc>
          <w:tcPr>
            <w:tcW w:type="dxa" w:w="2160"/>
          </w:tcPr>
          <w:p>
            <w:pPr>
              <w:jc w:val="center"/>
            </w:pPr>
            <w:r>
              <w:t>Pa-s</w:t>
            </w:r>
          </w:p>
        </w:tc>
      </w:tr>
      <w:tr>
        <w:tc>
          <w:tcPr>
            <w:tcW w:type="dxa" w:w="2160"/>
          </w:tcPr>
          <w:p>
            <w:pPr>
              <w:jc w:val="center"/>
            </w:pPr>
            <w:r>
              <w:t>Spectrometer Alpha-300</w:t>
            </w:r>
          </w:p>
        </w:tc>
        <w:tc>
          <w:tcPr>
            <w:tcW w:type="dxa" w:w="2160"/>
          </w:tcPr>
          <w:p>
            <w:pPr>
              <w:jc w:val="center"/>
            </w:pPr>
            <w:r>
              <w:t>Coconut Oil, Gum</w:t>
            </w:r>
          </w:p>
        </w:tc>
        <w:tc>
          <w:tcPr>
            <w:tcW w:type="dxa" w:w="2160"/>
          </w:tcPr>
          <w:p>
            <w:pPr>
              <w:jc w:val="center"/>
            </w:pPr>
            <w:r>
              <w:t>800</w:t>
            </w:r>
          </w:p>
        </w:tc>
        <w:tc>
          <w:tcPr>
            <w:tcW w:type="dxa" w:w="2160"/>
          </w:tcPr>
          <w:p>
            <w:pPr>
              <w:jc w:val="center"/>
            </w:pPr>
            <w:r>
              <w:t>nm</w:t>
            </w:r>
          </w:p>
        </w:tc>
      </w:tr>
      <w:tr>
        <w:tc>
          <w:tcPr>
            <w:tcW w:type="dxa" w:w="2160"/>
          </w:tcPr>
          <w:p>
            <w:pPr>
              <w:jc w:val="center"/>
            </w:pPr>
            <w:r>
              <w:t>[Irrelevant Note]</w:t>
            </w:r>
          </w:p>
        </w:tc>
        <w:tc>
          <w:tcPr>
            <w:tcW w:type="dxa" w:w="2160"/>
          </w:tcPr>
          <w:p>
            <w:pPr>
              <w:jc w:val="center"/>
            </w:pPr>
            <w:r>
              <w:t>Random Data</w:t>
            </w:r>
          </w:p>
        </w:tc>
        <w:tc>
          <w:tcPr>
            <w:tcW w:type="dxa" w:w="2160"/>
          </w:tcPr>
          <w:p>
            <w:pPr>
              <w:jc w:val="center"/>
            </w:pPr>
            <w:r>
              <w:t>Note</w:t>
            </w:r>
          </w:p>
        </w:tc>
        <w:tc>
          <w:tcPr>
            <w:tcW w:type="dxa" w:w="2160"/>
          </w:tcPr>
          <w:p>
            <w:pPr>
              <w:jc w:val="center"/>
            </w:pPr>
            <w:r>
              <w:t>Text</w:t>
            </w:r>
          </w:p>
        </w:tc>
      </w:tr>
    </w:tbl>
    <w:p>
      <w:r>
        <w:t>The introduction of a spectrometric analysis at 800 nm for Coconut Oil and Gum mixture aligns with standard protocols for discerning molecular transitions in the presence of polysaccharides.</w:t>
      </w:r>
    </w:p>
    <w:p>
      <w:r>
        <w:t>Table 2: Supplementary Data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Experimentation</w:t>
            </w:r>
          </w:p>
        </w:tc>
        <w:tc>
          <w:tcPr>
            <w:tcW w:type="dxa" w:w="2880"/>
          </w:tcPr>
          <w:p>
            <w:pPr>
              <w:jc w:val="center"/>
            </w:pPr>
            <w:r>
              <w:rPr>
                <w:b/>
              </w:rPr>
              <w:t>Additional Observations</w:t>
            </w:r>
          </w:p>
        </w:tc>
        <w:tc>
          <w:tcPr>
            <w:tcW w:type="dxa" w:w="2880"/>
          </w:tcPr>
          <w:p>
            <w:pPr>
              <w:jc w:val="center"/>
            </w:pPr>
            <w:r>
              <w:rPr>
                <w:b/>
              </w:rPr>
              <w:t>Equipment Used</w:t>
            </w:r>
          </w:p>
        </w:tc>
      </w:tr>
      <w:tr>
        <w:tc>
          <w:tcPr>
            <w:tcW w:type="dxa" w:w="2880"/>
          </w:tcPr>
          <w:p>
            <w:pPr>
              <w:jc w:val="center"/>
            </w:pPr>
            <w:r>
              <w:t>Titration Analysis</w:t>
            </w:r>
          </w:p>
        </w:tc>
        <w:tc>
          <w:tcPr>
            <w:tcW w:type="dxa" w:w="2880"/>
          </w:tcPr>
          <w:p>
            <w:pPr>
              <w:jc w:val="center"/>
            </w:pPr>
            <w:r>
              <w:t>pH stability noted</w:t>
            </w:r>
          </w:p>
        </w:tc>
        <w:tc>
          <w:tcPr>
            <w:tcW w:type="dxa" w:w="2880"/>
          </w:tcPr>
          <w:p>
            <w:pPr>
              <w:jc w:val="center"/>
            </w:pPr>
            <w:r>
              <w:t>Titrator T-905</w:t>
            </w:r>
          </w:p>
        </w:tc>
      </w:tr>
      <w:tr>
        <w:tc>
          <w:tcPr>
            <w:tcW w:type="dxa" w:w="2880"/>
          </w:tcPr>
          <w:p>
            <w:pPr>
              <w:jc w:val="center"/>
            </w:pPr>
            <w:r>
              <w:t>Centrifugal Testing</w:t>
            </w:r>
          </w:p>
        </w:tc>
        <w:tc>
          <w:tcPr>
            <w:tcW w:type="dxa" w:w="2880"/>
          </w:tcPr>
          <w:p>
            <w:pPr>
              <w:jc w:val="center"/>
            </w:pPr>
            <w:r>
              <w:t>Uniform phase separation</w:t>
            </w:r>
          </w:p>
        </w:tc>
        <w:tc>
          <w:tcPr>
            <w:tcW w:type="dxa" w:w="2880"/>
          </w:tcPr>
          <w:p>
            <w:pPr>
              <w:jc w:val="center"/>
            </w:pPr>
            <w:r>
              <w:t>Centrifuge X100</w:t>
            </w:r>
          </w:p>
        </w:tc>
      </w:tr>
      <w:tr>
        <w:tc>
          <w:tcPr>
            <w:tcW w:type="dxa" w:w="2880"/>
          </w:tcPr>
          <w:p>
            <w:pPr>
              <w:jc w:val="center"/>
            </w:pPr>
            <w:r>
              <w:t>FTIR Spectroscopy</w:t>
            </w:r>
          </w:p>
        </w:tc>
        <w:tc>
          <w:tcPr>
            <w:tcW w:type="dxa" w:w="2880"/>
          </w:tcPr>
          <w:p>
            <w:pPr>
              <w:jc w:val="center"/>
            </w:pPr>
            <w:r>
              <w:t>High transmittance peaks</w:t>
            </w:r>
          </w:p>
        </w:tc>
        <w:tc>
          <w:tcPr>
            <w:tcW w:type="dxa" w:w="2880"/>
          </w:tcPr>
          <w:p>
            <w:pPr>
              <w:jc w:val="center"/>
            </w:pPr>
            <w:r>
              <w:t>FTIR Spectrometer FTIR-8400</w:t>
            </w:r>
          </w:p>
        </w:tc>
      </w:tr>
      <w:tr>
        <w:tc>
          <w:tcPr>
            <w:tcW w:type="dxa" w:w="2880"/>
          </w:tcPr>
          <w:p>
            <w:pPr>
              <w:jc w:val="center"/>
            </w:pPr>
            <w:r>
              <w:t>Viscosity Comparative</w:t>
            </w:r>
          </w:p>
        </w:tc>
        <w:tc>
          <w:tcPr>
            <w:tcW w:type="dxa" w:w="2880"/>
          </w:tcPr>
          <w:p>
            <w:pPr>
              <w:jc w:val="center"/>
            </w:pPr>
            <w:r>
              <w:t>Increased viscosity noted</w:t>
            </w:r>
          </w:p>
        </w:tc>
        <w:tc>
          <w:tcPr>
            <w:tcW w:type="dxa" w:w="2880"/>
          </w:tcPr>
          <w:p>
            <w:pPr>
              <w:jc w:val="center"/>
            </w:pPr>
            <w:r>
              <w:t>Viscometer VS-300</w:t>
            </w:r>
          </w:p>
        </w:tc>
      </w:tr>
      <w:tr>
        <w:tc>
          <w:tcPr>
            <w:tcW w:type="dxa" w:w="2880"/>
          </w:tcPr>
          <w:p>
            <w:pPr>
              <w:jc w:val="center"/>
            </w:pPr>
            <w:r>
              <w:t>[Miscellaneous Entry]</w:t>
            </w:r>
          </w:p>
        </w:tc>
        <w:tc>
          <w:tcPr>
            <w:tcW w:type="dxa" w:w="2880"/>
          </w:tcPr>
          <w:p>
            <w:pPr>
              <w:jc w:val="center"/>
            </w:pPr>
            <w:r>
              <w:t>Unrelated text</w:t>
            </w:r>
          </w:p>
        </w:tc>
        <w:tc>
          <w:tcPr>
            <w:tcW w:type="dxa" w:w="2880"/>
          </w:tcPr>
          <w:p>
            <w:pPr>
              <w:jc w:val="center"/>
            </w:pPr>
            <w:r>
              <w:t>Device X</w:t>
            </w:r>
          </w:p>
        </w:tc>
      </w:tr>
    </w:tbl>
    <w:p>
      <w:r>
        <w:t>The titrator recorded a molarity of 0.05 M for the Almond Oil and Beeswax solution, illustrating minimal acidic or basic shifts indicative of potential ester formation. Centrifugal forces at 12000 RPM via the Centrifuge X100 achieved efficient phase separation in the Almond Oil and Cetyl Alcohol composition.</w:t>
      </w:r>
    </w:p>
    <w:p>
      <w:r>
        <w:t>Conclusions</w:t>
      </w:r>
    </w:p>
    <w:p>
      <w:r>
        <w:t>This analytical scrutiny of diverse mixtures unveils significant molecular interactions predominantly influenced by component polarity, hydrophobic interactions, and steric factors. Spectrometric, viscometric, and rheometric results collectively contribute to a comprehensive profile for each test sample. This offers potential implications in fields ranging from cosmeceutical formulations to bio-lubricant design.</w:t>
      </w:r>
    </w:p>
    <w:p>
      <w:r>
        <w:t>Recommendations for Further Research</w:t>
      </w:r>
    </w:p>
    <w:p>
      <w:r>
        <w:t>Note:Certain extraneous information intentionally left unresolved in pursuit of intricate data presentation.</w:t>
      </w:r>
    </w:p>
    <w:p>
      <w:r>
        <w:t>Attachments:Raw data files, extended spectrum charts, calibration sheets.</w:t>
      </w:r>
    </w:p>
    <w:p>
      <w:r>
        <w:t>Acknowledgments:Gratitude expressed to the technical team and reviewing committee.</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