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ID:2392Instruments Used:Mass Spectrometer MS-20, Thermocycler TC-5000, X-Ray Diffractometer XRD-6000, PCR Machine PCR-96, pH Meter PH-700, Viscometer VS-300</w:t>
      </w:r>
    </w:p>
    <w:p>
      <w:r>
        <w:t>Introduction</w:t>
      </w:r>
    </w:p>
    <w:p>
      <w:r>
        <w:t>The primary focus of this analysis was to evaluate the physicochemical properties of various oil-based mixtures. Ingredients such as almond oil, coconut oil, jojoba oil, beeswax, and other additives were analyzed individually and in concoctions using advanced instrumentation. Experiments were conducted under specific controlled conditions to ensure the integrity of results.</w:t>
      </w:r>
    </w:p>
    <w:p>
      <w:r>
        <w:t>Observations and Measurements</w:t>
      </w:r>
    </w:p>
    <w:p>
      <w:r>
        <w:t>The experiment utilized several high-precision instruments to measure different properties of the mixtures. Each mixture's response to the apparatus varied significantly based on its composition.</w:t>
      </w:r>
    </w:p>
    <w:p>
      <w:r>
        <w:t>Among the notable points:</w:t>
        <w:br/>
        <w:t>- The presence of certain compounds like gum or cetyl alcohol altered the overall response seen in mass spectrometric readings.</w:t>
        <w:br/>
        <w:t>- The temperature settings on the Thermocycler TC-5000 greatly influenced the thermal properties of the almond and coconut oil-based samples.</w:t>
      </w:r>
    </w:p>
    <w:p>
      <w:r>
        <w:t>Table 1: Instrumental Readings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(Mixture)</w:t>
            </w:r>
          </w:p>
        </w:tc>
        <w:tc>
          <w:tcPr>
            <w:tcW w:type="dxa" w:w="1728"/>
          </w:tcPr>
          <w:p>
            <w:pPr>
              <w:jc w:val="center"/>
            </w:pPr>
            <w:r>
              <w:rPr>
                <w:b/>
              </w:rPr>
              <w:t>Instrument</w:t>
            </w:r>
          </w:p>
        </w:tc>
        <w:tc>
          <w:tcPr>
            <w:tcW w:type="dxa" w:w="1728"/>
          </w:tcPr>
          <w:p>
            <w:pPr>
              <w:jc w:val="center"/>
            </w:pPr>
            <w:r>
              <w:rPr>
                <w:b/>
              </w:rPr>
              <w:t>Metric</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 Gum</w:t>
            </w:r>
          </w:p>
        </w:tc>
        <w:tc>
          <w:tcPr>
            <w:tcW w:type="dxa" w:w="1728"/>
          </w:tcPr>
          <w:p>
            <w:pPr>
              <w:jc w:val="center"/>
            </w:pPr>
            <w:r>
              <w:t>Mass Spectrometer MS-20</w:t>
            </w:r>
          </w:p>
        </w:tc>
        <w:tc>
          <w:tcPr>
            <w:tcW w:type="dxa" w:w="1728"/>
          </w:tcPr>
          <w:p>
            <w:pPr>
              <w:jc w:val="center"/>
            </w:pPr>
            <w:r>
              <w:t>m/z</w:t>
            </w:r>
          </w:p>
        </w:tc>
        <w:tc>
          <w:tcPr>
            <w:tcW w:type="dxa" w:w="1728"/>
          </w:tcPr>
          <w:p>
            <w:pPr>
              <w:jc w:val="center"/>
            </w:pPr>
            <w:r>
              <w:t>62</w:t>
            </w:r>
          </w:p>
        </w:tc>
        <w:tc>
          <w:tcPr>
            <w:tcW w:type="dxa" w:w="1728"/>
          </w:tcPr>
          <w:p>
            <w:pPr>
              <w:jc w:val="center"/>
            </w:pPr>
            <w:r>
              <w:t>m/z</w:t>
            </w:r>
          </w:p>
        </w:tc>
      </w:tr>
      <w:tr>
        <w:tc>
          <w:tcPr>
            <w:tcW w:type="dxa" w:w="1728"/>
          </w:tcPr>
          <w:p>
            <w:pPr>
              <w:jc w:val="center"/>
            </w:pPr>
            <w:r>
              <w:t>Almond Oil</w:t>
            </w:r>
          </w:p>
        </w:tc>
        <w:tc>
          <w:tcPr>
            <w:tcW w:type="dxa" w:w="1728"/>
          </w:tcPr>
          <w:p>
            <w:pPr>
              <w:jc w:val="center"/>
            </w:pPr>
            <w:r>
              <w:t>Thermocycler TC-5000</w:t>
            </w:r>
          </w:p>
        </w:tc>
        <w:tc>
          <w:tcPr>
            <w:tcW w:type="dxa" w:w="1728"/>
          </w:tcPr>
          <w:p>
            <w:pPr>
              <w:jc w:val="center"/>
            </w:pPr>
            <w:r>
              <w:t>Temperature</w:t>
            </w:r>
          </w:p>
        </w:tc>
        <w:tc>
          <w:tcPr>
            <w:tcW w:type="dxa" w:w="1728"/>
          </w:tcPr>
          <w:p>
            <w:pPr>
              <w:jc w:val="center"/>
            </w:pPr>
            <w:r>
              <w:t>56</w:t>
            </w:r>
          </w:p>
        </w:tc>
        <w:tc>
          <w:tcPr>
            <w:tcW w:type="dxa" w:w="1728"/>
          </w:tcPr>
          <w:p>
            <w:pPr>
              <w:jc w:val="center"/>
            </w:pPr>
            <w:r>
              <w:t>°C</w:t>
            </w:r>
          </w:p>
        </w:tc>
      </w:tr>
      <w:tr>
        <w:tc>
          <w:tcPr>
            <w:tcW w:type="dxa" w:w="1728"/>
          </w:tcPr>
          <w:p>
            <w:pPr>
              <w:jc w:val="center"/>
            </w:pPr>
            <w:r>
              <w:t>Coconut Oil, Beeswax, Vitamin E</w:t>
            </w:r>
          </w:p>
        </w:tc>
        <w:tc>
          <w:tcPr>
            <w:tcW w:type="dxa" w:w="1728"/>
          </w:tcPr>
          <w:p>
            <w:pPr>
              <w:jc w:val="center"/>
            </w:pPr>
            <w:r>
              <w:t>X-Ray Diffractometer XRD-6000</w:t>
            </w:r>
          </w:p>
        </w:tc>
        <w:tc>
          <w:tcPr>
            <w:tcW w:type="dxa" w:w="1728"/>
          </w:tcPr>
          <w:p>
            <w:pPr>
              <w:jc w:val="center"/>
            </w:pPr>
            <w:r>
              <w:t>Temperature</w:t>
            </w:r>
          </w:p>
        </w:tc>
        <w:tc>
          <w:tcPr>
            <w:tcW w:type="dxa" w:w="1728"/>
          </w:tcPr>
          <w:p>
            <w:pPr>
              <w:jc w:val="center"/>
            </w:pPr>
            <w:r>
              <w:t>134</w:t>
            </w:r>
          </w:p>
        </w:tc>
        <w:tc>
          <w:tcPr>
            <w:tcW w:type="dxa" w:w="1728"/>
          </w:tcPr>
          <w:p>
            <w:pPr>
              <w:jc w:val="center"/>
            </w:pPr>
            <w:r>
              <w:t>°C</w:t>
            </w:r>
          </w:p>
        </w:tc>
      </w:tr>
      <w:tr>
        <w:tc>
          <w:tcPr>
            <w:tcW w:type="dxa" w:w="1728"/>
          </w:tcPr>
          <w:p>
            <w:pPr>
              <w:jc w:val="center"/>
            </w:pPr>
            <w:r>
              <w:t>Coconut Oil, Cetyl Alcohol</w:t>
            </w:r>
          </w:p>
        </w:tc>
        <w:tc>
          <w:tcPr>
            <w:tcW w:type="dxa" w:w="1728"/>
          </w:tcPr>
          <w:p>
            <w:pPr>
              <w:jc w:val="center"/>
            </w:pPr>
            <w:r>
              <w:t>Mass Spectrometer MS-20</w:t>
            </w:r>
          </w:p>
        </w:tc>
        <w:tc>
          <w:tcPr>
            <w:tcW w:type="dxa" w:w="1728"/>
          </w:tcPr>
          <w:p>
            <w:pPr>
              <w:jc w:val="center"/>
            </w:pPr>
            <w:r>
              <w:t>m/z</w:t>
            </w:r>
          </w:p>
        </w:tc>
        <w:tc>
          <w:tcPr>
            <w:tcW w:type="dxa" w:w="1728"/>
          </w:tcPr>
          <w:p>
            <w:pPr>
              <w:jc w:val="center"/>
            </w:pPr>
            <w:r>
              <w:t>170</w:t>
            </w:r>
          </w:p>
        </w:tc>
        <w:tc>
          <w:tcPr>
            <w:tcW w:type="dxa" w:w="1728"/>
          </w:tcPr>
          <w:p>
            <w:pPr>
              <w:jc w:val="center"/>
            </w:pPr>
            <w:r>
              <w:t>m/z</w:t>
            </w:r>
          </w:p>
        </w:tc>
      </w:tr>
      <w:tr>
        <w:tc>
          <w:tcPr>
            <w:tcW w:type="dxa" w:w="1728"/>
          </w:tcPr>
          <w:p>
            <w:pPr>
              <w:jc w:val="center"/>
            </w:pPr>
            <w:r>
              <w:t>Jojoba Oil, Cetyl Alcohol</w:t>
            </w:r>
          </w:p>
        </w:tc>
        <w:tc>
          <w:tcPr>
            <w:tcW w:type="dxa" w:w="1728"/>
          </w:tcPr>
          <w:p>
            <w:pPr>
              <w:jc w:val="center"/>
            </w:pPr>
            <w:r>
              <w:t>pH Meter PH-700</w:t>
            </w:r>
          </w:p>
        </w:tc>
        <w:tc>
          <w:tcPr>
            <w:tcW w:type="dxa" w:w="1728"/>
          </w:tcPr>
          <w:p>
            <w:pPr>
              <w:jc w:val="center"/>
            </w:pPr>
            <w:r>
              <w:t>pH</w:t>
            </w:r>
          </w:p>
        </w:tc>
        <w:tc>
          <w:tcPr>
            <w:tcW w:type="dxa" w:w="1728"/>
          </w:tcPr>
          <w:p>
            <w:pPr>
              <w:jc w:val="center"/>
            </w:pPr>
            <w:r>
              <w:t>7</w:t>
            </w:r>
          </w:p>
        </w:tc>
        <w:tc>
          <w:tcPr>
            <w:tcW w:type="dxa" w:w="1728"/>
          </w:tcPr>
          <w:p>
            <w:pPr>
              <w:jc w:val="center"/>
            </w:pPr>
            <w:r>
              <w:t>pH</w:t>
            </w:r>
          </w:p>
        </w:tc>
      </w:tr>
    </w:tbl>
    <w:p>
      <w:r>
        <w:t>Note:The viscometer readings were particularly intriguing. The coconut oil and cetyl alcohol mixture showed varied viscosities that invite further inquiry. (5081.47 cP and 5261.19 cP)</w:t>
      </w:r>
    </w:p>
    <w:p>
      <w:r>
        <w:t>Results</w:t>
      </w:r>
    </w:p>
    <w:p>
      <w:r>
        <w:t>Aggregate data revealed certain commonalities among the oil mixtures with gums, indicating a consistent m/z value with mass spectrometric analysis. However, deviations in thermal cycling results under different conditions hint at complex interactions potentially useful in industrial applications.</w:t>
      </w:r>
    </w:p>
    <w:p>
      <w:r>
        <w:t>Table 2: Consolidated Results and Description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 Type</w:t>
            </w:r>
          </w:p>
        </w:tc>
        <w:tc>
          <w:tcPr>
            <w:tcW w:type="dxa" w:w="2880"/>
          </w:tcPr>
          <w:p>
            <w:pPr>
              <w:jc w:val="center"/>
            </w:pPr>
            <w:r>
              <w:rPr>
                <w:b/>
              </w:rPr>
              <w:t>Result Description</w:t>
            </w:r>
          </w:p>
        </w:tc>
        <w:tc>
          <w:tcPr>
            <w:tcW w:type="dxa" w:w="2880"/>
          </w:tcPr>
          <w:p>
            <w:pPr>
              <w:jc w:val="center"/>
            </w:pPr>
            <w:r>
              <w:rPr>
                <w:b/>
              </w:rPr>
              <w:t>Observations</w:t>
            </w:r>
          </w:p>
        </w:tc>
      </w:tr>
      <w:tr>
        <w:tc>
          <w:tcPr>
            <w:tcW w:type="dxa" w:w="2880"/>
          </w:tcPr>
          <w:p>
            <w:pPr>
              <w:jc w:val="center"/>
            </w:pPr>
            <w:r>
              <w:t>Mass Spectrometer</w:t>
            </w:r>
          </w:p>
        </w:tc>
        <w:tc>
          <w:tcPr>
            <w:tcW w:type="dxa" w:w="2880"/>
          </w:tcPr>
          <w:p>
            <w:pPr>
              <w:jc w:val="center"/>
            </w:pPr>
            <w:r>
              <w:t>Measured mass-to-charge ratios for each sample mixture.</w:t>
            </w:r>
          </w:p>
        </w:tc>
        <w:tc>
          <w:tcPr>
            <w:tcW w:type="dxa" w:w="2880"/>
          </w:tcPr>
          <w:p>
            <w:pPr>
              <w:jc w:val="center"/>
            </w:pPr>
            <w:r>
              <w:t>Diverse m/z values observed.</w:t>
            </w:r>
          </w:p>
        </w:tc>
      </w:tr>
      <w:tr>
        <w:tc>
          <w:tcPr>
            <w:tcW w:type="dxa" w:w="2880"/>
          </w:tcPr>
          <w:p>
            <w:pPr>
              <w:jc w:val="center"/>
            </w:pPr>
            <w:r>
              <w:t>Thermocycler</w:t>
            </w:r>
          </w:p>
        </w:tc>
        <w:tc>
          <w:tcPr>
            <w:tcW w:type="dxa" w:w="2880"/>
          </w:tcPr>
          <w:p>
            <w:pPr>
              <w:jc w:val="center"/>
            </w:pPr>
            <w:r>
              <w:t>Assessed stability and thermal properties of mixtures.</w:t>
            </w:r>
          </w:p>
        </w:tc>
        <w:tc>
          <w:tcPr>
            <w:tcW w:type="dxa" w:w="2880"/>
          </w:tcPr>
          <w:p>
            <w:pPr>
              <w:jc w:val="center"/>
            </w:pPr>
            <w:r>
              <w:t>Notable temperature variance.</w:t>
            </w:r>
          </w:p>
        </w:tc>
      </w:tr>
      <w:tr>
        <w:tc>
          <w:tcPr>
            <w:tcW w:type="dxa" w:w="2880"/>
          </w:tcPr>
          <w:p>
            <w:pPr>
              <w:jc w:val="center"/>
            </w:pPr>
            <w:r>
              <w:t>X-Ray Diffractometer</w:t>
            </w:r>
          </w:p>
        </w:tc>
        <w:tc>
          <w:tcPr>
            <w:tcW w:type="dxa" w:w="2880"/>
          </w:tcPr>
          <w:p>
            <w:pPr>
              <w:jc w:val="center"/>
            </w:pPr>
            <w:r>
              <w:t>Detailed readings of structural changes in samples.</w:t>
            </w:r>
          </w:p>
        </w:tc>
        <w:tc>
          <w:tcPr>
            <w:tcW w:type="dxa" w:w="2880"/>
          </w:tcPr>
          <w:p>
            <w:pPr>
              <w:jc w:val="center"/>
            </w:pPr>
            <w:r>
              <w:t>High-temperature dependency.</w:t>
            </w:r>
          </w:p>
        </w:tc>
      </w:tr>
      <w:tr>
        <w:tc>
          <w:tcPr>
            <w:tcW w:type="dxa" w:w="2880"/>
          </w:tcPr>
          <w:p>
            <w:pPr>
              <w:jc w:val="center"/>
            </w:pPr>
            <w:r>
              <w:t>pH Meter</w:t>
            </w:r>
          </w:p>
        </w:tc>
        <w:tc>
          <w:tcPr>
            <w:tcW w:type="dxa" w:w="2880"/>
          </w:tcPr>
          <w:p>
            <w:pPr>
              <w:jc w:val="center"/>
            </w:pPr>
            <w:r>
              <w:t>Recorded acidity/basicity levels.</w:t>
            </w:r>
          </w:p>
        </w:tc>
        <w:tc>
          <w:tcPr>
            <w:tcW w:type="dxa" w:w="2880"/>
          </w:tcPr>
          <w:p>
            <w:pPr>
              <w:jc w:val="center"/>
            </w:pPr>
            <w:r>
              <w:t>Predictably neutral pH readings.</w:t>
            </w:r>
          </w:p>
        </w:tc>
      </w:tr>
    </w:tbl>
    <w:p>
      <w:r>
        <w:t>Random Note:It is interesting to mention the peculiar observation of using a vanilla-scented lotion immersively interacting with the temperature probes. Though irrelevant to the core findings, such conditions might influence pH readings subtly due to the fragrance leakage.</w:t>
      </w:r>
    </w:p>
    <w:p>
      <w:r>
        <w:t>Conclusion</w:t>
      </w:r>
    </w:p>
    <w:p>
      <w:r>
        <w:t>The detailed analysis of the oil-based mixtures revealed pronounced variations in physical and chemical properties attributable to their composition. With meticulous calibration and instrumental accuracy, we discerned patterns and anomalies across the sample set. Future research may examine the kinetic and reactive properties in even more complex matrices, potentially uncovering broader applications.</w:t>
      </w:r>
    </w:p>
    <w:p>
      <w:r>
        <w:t>Appendix:During the study, minor interference from external factors like ambient lab scents was noted. Further studies should ensure isolation from such variables.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