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Chemical Analysis and Properties Study</w:t>
      </w:r>
    </w:p>
    <w:p>
      <w:r>
        <w:t>Report ID: 2412</w:t>
      </w:r>
    </w:p>
    <w:p>
      <w:r>
        <w:t>Instruments and Apparatus</w:t>
      </w:r>
    </w:p>
    <w:p>
      <w:r>
        <w:t>In the comprehensive exploration of diverse samples, five superior instruments were engaged—each selected for their precision across varying experimental contexts:</w:t>
      </w:r>
    </w:p>
    <w:p>
      <w:r>
        <w:t>Sample Preparation</w:t>
      </w:r>
    </w:p>
    <w:p>
      <w:r>
        <w:t>Upon careful deliberation, specific ingredient combinations were selected for analysis, each assessed on their unique chemical and physical properties. The intricacies of their interactions were pertinent to these investigations.</w:t>
      </w:r>
    </w:p>
    <w:p>
      <w:r>
        <w:t>Observations and Measurements</w:t>
      </w:r>
    </w:p>
    <w:p>
      <w:r>
        <w:t>Example Mixture Groups</w:t>
      </w:r>
    </w:p>
    <w:p>
      <w:r>
        <w:t>Group 1: Coconut Oil, Cetyl Alcohol, Glycerin</w:t>
      </w:r>
    </w:p>
    <w:p>
      <w:r>
        <w:t>Group 2: Jojoba Oil, Gum, Vitamin E</w:t>
      </w:r>
    </w:p>
    <w:p>
      <w:r>
        <w:t>Group 3: Almond Oil, Cetyl Alcohol, Vitamin E</w:t>
      </w:r>
    </w:p>
    <w:p>
      <w:r>
        <w:t>Group 4: Almond Oil, Beeswax, Vitamin E</w:t>
      </w:r>
    </w:p>
    <w:p>
      <w:r>
        <w:t>Additional Mixes</w:t>
      </w:r>
    </w:p>
    <w:p>
      <w:r>
        <w:t>Coconut Oil, Beeswax, Glycerin:</w:t>
      </w:r>
    </w:p>
    <w:p>
      <w:r>
        <w:t>Almond Oil, Gum, Glycerin:</w:t>
      </w:r>
    </w:p>
    <w:p>
      <w:r>
        <w:t>Results and Analysis</w:t>
      </w:r>
    </w:p>
    <w:p>
      <w:r>
        <w:t>The analysis of these combinations served to unveil substantial insights regarding material behaviors under variant conditions. Spectrometric results with Coconut Oil mixtures displayed atypical absorption peaks which correlated with increased ester content. Interestingly, the introduction of Vitamin E across several tests consistently altered both viscosity and structural stability, suggesting antioxidant interactions impact gel matrix formations profoundly.</w:t>
      </w:r>
    </w:p>
    <w:p>
      <w:r>
        <w:t>Table of Key Data Points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Group</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Coconut Oil Set</w:t>
            </w:r>
          </w:p>
        </w:tc>
        <w:tc>
          <w:tcPr>
            <w:tcW w:type="dxa" w:w="2160"/>
          </w:tcPr>
          <w:p>
            <w:pPr>
              <w:jc w:val="center"/>
            </w:pPr>
            <w:r>
              <w:t>Spectrometer Alpha-300</w:t>
            </w:r>
          </w:p>
        </w:tc>
        <w:tc>
          <w:tcPr>
            <w:tcW w:type="dxa" w:w="2160"/>
          </w:tcPr>
          <w:p>
            <w:pPr>
              <w:jc w:val="center"/>
            </w:pPr>
            <w:r>
              <w:t>Wavelength</w:t>
            </w:r>
          </w:p>
        </w:tc>
        <w:tc>
          <w:tcPr>
            <w:tcW w:type="dxa" w:w="2160"/>
          </w:tcPr>
          <w:p>
            <w:pPr>
              <w:jc w:val="center"/>
            </w:pPr>
            <w:r>
              <w:t>350 nm, 450 nm</w:t>
            </w:r>
          </w:p>
        </w:tc>
      </w:tr>
      <w:tr>
        <w:tc>
          <w:tcPr>
            <w:tcW w:type="dxa" w:w="2160"/>
          </w:tcPr>
          <w:p>
            <w:pPr>
              <w:jc w:val="center"/>
            </w:pPr>
            <w:r>
              <w:t>Jojoba Oil Set</w:t>
            </w:r>
          </w:p>
        </w:tc>
        <w:tc>
          <w:tcPr>
            <w:tcW w:type="dxa" w:w="2160"/>
          </w:tcPr>
          <w:p>
            <w:pPr>
              <w:jc w:val="center"/>
            </w:pPr>
            <w:r>
              <w:t>NMR Spectrometer NMR-500</w:t>
            </w:r>
          </w:p>
        </w:tc>
        <w:tc>
          <w:tcPr>
            <w:tcW w:type="dxa" w:w="2160"/>
          </w:tcPr>
          <w:p>
            <w:pPr>
              <w:jc w:val="center"/>
            </w:pPr>
            <w:r>
              <w:t>Chemical Shift</w:t>
            </w:r>
          </w:p>
        </w:tc>
        <w:tc>
          <w:tcPr>
            <w:tcW w:type="dxa" w:w="2160"/>
          </w:tcPr>
          <w:p>
            <w:pPr>
              <w:jc w:val="center"/>
            </w:pPr>
            <w:r>
              <w:t>15 ppm</w:t>
            </w:r>
          </w:p>
        </w:tc>
      </w:tr>
      <w:tr>
        <w:tc>
          <w:tcPr>
            <w:tcW w:type="dxa" w:w="2160"/>
          </w:tcPr>
          <w:p>
            <w:pPr>
              <w:jc w:val="center"/>
            </w:pPr>
            <w:r>
              <w:t>Almond Oil Set</w:t>
            </w:r>
          </w:p>
        </w:tc>
        <w:tc>
          <w:tcPr>
            <w:tcW w:type="dxa" w:w="2160"/>
          </w:tcPr>
          <w:p>
            <w:pPr>
              <w:jc w:val="center"/>
            </w:pPr>
            <w:r>
              <w:t>X-Ray Diffractometer</w:t>
            </w:r>
          </w:p>
        </w:tc>
        <w:tc>
          <w:tcPr>
            <w:tcW w:type="dxa" w:w="2160"/>
          </w:tcPr>
          <w:p>
            <w:pPr>
              <w:jc w:val="center"/>
            </w:pPr>
            <w:r>
              <w:t>Temperature</w:t>
            </w:r>
          </w:p>
        </w:tc>
        <w:tc>
          <w:tcPr>
            <w:tcW w:type="dxa" w:w="2160"/>
          </w:tcPr>
          <w:p>
            <w:pPr>
              <w:jc w:val="center"/>
            </w:pPr>
            <w:r>
              <w:t>120°C</w:t>
            </w:r>
          </w:p>
        </w:tc>
      </w:tr>
      <w:tr>
        <w:tc>
          <w:tcPr>
            <w:tcW w:type="dxa" w:w="2160"/>
          </w:tcPr>
          <w:p>
            <w:pPr>
              <w:jc w:val="center"/>
            </w:pPr>
            <w:r>
              <w:t>Jojoba Oil Set</w:t>
            </w:r>
          </w:p>
        </w:tc>
        <w:tc>
          <w:tcPr>
            <w:tcW w:type="dxa" w:w="2160"/>
          </w:tcPr>
          <w:p>
            <w:pPr>
              <w:jc w:val="center"/>
            </w:pPr>
            <w:r>
              <w:t>Viscometer VS-300</w:t>
            </w:r>
          </w:p>
        </w:tc>
        <w:tc>
          <w:tcPr>
            <w:tcW w:type="dxa" w:w="2160"/>
          </w:tcPr>
          <w:p>
            <w:pPr>
              <w:jc w:val="center"/>
            </w:pPr>
            <w:r>
              <w:t>Viscosity</w:t>
            </w:r>
          </w:p>
        </w:tc>
        <w:tc>
          <w:tcPr>
            <w:tcW w:type="dxa" w:w="2160"/>
          </w:tcPr>
          <w:p>
            <w:pPr>
              <w:jc w:val="center"/>
            </w:pPr>
            <w:r>
              <w:t>2030.2 cP</w:t>
            </w:r>
          </w:p>
        </w:tc>
      </w:tr>
      <w:tr>
        <w:tc>
          <w:tcPr>
            <w:tcW w:type="dxa" w:w="2160"/>
          </w:tcPr>
          <w:p>
            <w:pPr>
              <w:jc w:val="center"/>
            </w:pPr>
            <w:r>
              <w:t>Almond Oil Set</w:t>
            </w:r>
          </w:p>
        </w:tc>
        <w:tc>
          <w:tcPr>
            <w:tcW w:type="dxa" w:w="2160"/>
          </w:tcPr>
          <w:p>
            <w:pPr>
              <w:jc w:val="center"/>
            </w:pPr>
            <w:r>
              <w:t>Rheometer R-4500</w:t>
            </w:r>
          </w:p>
        </w:tc>
        <w:tc>
          <w:tcPr>
            <w:tcW w:type="dxa" w:w="2160"/>
          </w:tcPr>
          <w:p>
            <w:pPr>
              <w:jc w:val="center"/>
            </w:pPr>
            <w:r>
              <w:t>Viscosity</w:t>
            </w:r>
          </w:p>
        </w:tc>
        <w:tc>
          <w:tcPr>
            <w:tcW w:type="dxa" w:w="2160"/>
          </w:tcPr>
          <w:p>
            <w:pPr>
              <w:jc w:val="center"/>
            </w:pPr>
            <w:r>
              <w:t>750 Pa-s</w:t>
            </w:r>
          </w:p>
        </w:tc>
      </w:tr>
    </w:tbl>
    <w:p>
      <w:r>
        <w:t>Conclusion and Remarks</w:t>
      </w:r>
    </w:p>
    <w:p>
      <w:r>
        <w:t>The experimentation detailed above, grounded in diverse measurement techniques, provides a fundamental understanding of how natural and synthetic compounds interact within typical formulations. The juxtaposition of the data reveals the profound influence of compound compatibility on phenomena like viscosity, thermal stability, and molecular resonance shifts—critical factors for further development of enhanced cosmeceutical products.</w:t>
      </w:r>
    </w:p>
    <w:p>
      <w:r>
        <w:t>Within this concoction of data and instrumental insights lies a tangled web of interdependencies critical for advancing synthetic organic chemistry and material sciences. The results convey essential thresholds beyond which traditional interpretations falter, underscoring the complexity of chemical mixtures in modern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