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w:t>
      </w:r>
    </w:p>
    <w:p>
      <w:r>
        <w:t>Report Number: 2418Date: 2023-10-22Prepared by: Experimental Chemistry Unit</w:t>
      </w:r>
    </w:p>
    <w:p>
      <w:r>
        <w:t>Introduction</w:t>
      </w:r>
    </w:p>
    <w:p>
      <w:r>
        <w:t>This report presents the results of a comprehensive analysis of complex mixtures using various analytical instruments. Each mixture consists of carefully selected ingredients tested to assess synergistic properties and specific traits. The following sections detail the methodologies, measurements taken, and observations made during the study.</w:t>
      </w:r>
    </w:p>
    <w:p>
      <w:r>
        <w:t>Testing Equipment and Methodology</w:t>
      </w:r>
    </w:p>
    <w:p>
      <w:r>
        <w:t>Instruments Utilized:</w:t>
      </w:r>
    </w:p>
    <w:p>
      <w:r>
        <w:t>Sample Composition Overview:</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Components</w:t>
            </w:r>
          </w:p>
        </w:tc>
        <w:tc>
          <w:tcPr>
            <w:tcW w:type="dxa" w:w="2880"/>
          </w:tcPr>
          <w:p>
            <w:pPr>
              <w:jc w:val="center"/>
            </w:pPr>
            <w:r>
              <w:rPr>
                <w:b/>
              </w:rPr>
              <w:t>Instrumentation</w:t>
            </w:r>
          </w:p>
        </w:tc>
        <w:tc>
          <w:tcPr>
            <w:tcW w:type="dxa" w:w="2880"/>
          </w:tcPr>
          <w:p>
            <w:pPr>
              <w:jc w:val="center"/>
            </w:pPr>
            <w:r>
              <w:rPr>
                <w:b/>
              </w:rPr>
              <w:t>Additional Details</w:t>
            </w:r>
          </w:p>
        </w:tc>
      </w:tr>
      <w:tr>
        <w:tc>
          <w:tcPr>
            <w:tcW w:type="dxa" w:w="2880"/>
          </w:tcPr>
          <w:p>
            <w:pPr>
              <w:jc w:val="center"/>
            </w:pPr>
            <w:r>
              <w:t>Almond Oil, Glycerin</w:t>
            </w:r>
          </w:p>
        </w:tc>
        <w:tc>
          <w:tcPr>
            <w:tcW w:type="dxa" w:w="2880"/>
          </w:tcPr>
          <w:p>
            <w:pPr>
              <w:jc w:val="center"/>
            </w:pPr>
            <w:r>
              <w:t>Conductivity Meter</w:t>
            </w:r>
          </w:p>
        </w:tc>
        <w:tc>
          <w:tcPr>
            <w:tcW w:type="dxa" w:w="2880"/>
          </w:tcPr>
          <w:p>
            <w:pPr>
              <w:jc w:val="center"/>
            </w:pPr>
            <w:r>
              <w:t>Series code CM-215</w:t>
            </w:r>
          </w:p>
        </w:tc>
      </w:tr>
      <w:tr>
        <w:tc>
          <w:tcPr>
            <w:tcW w:type="dxa" w:w="2880"/>
          </w:tcPr>
          <w:p>
            <w:pPr>
              <w:jc w:val="center"/>
            </w:pPr>
            <w:r>
              <w:t>Coconut Oil, Gum, Glycerin</w:t>
            </w:r>
          </w:p>
        </w:tc>
        <w:tc>
          <w:tcPr>
            <w:tcW w:type="dxa" w:w="2880"/>
          </w:tcPr>
          <w:p>
            <w:pPr>
              <w:jc w:val="center"/>
            </w:pPr>
            <w:r>
              <w:t>X-Ray Diffractometer</w:t>
            </w:r>
          </w:p>
        </w:tc>
        <w:tc>
          <w:tcPr>
            <w:tcW w:type="dxa" w:w="2880"/>
          </w:tcPr>
          <w:p>
            <w:pPr>
              <w:jc w:val="center"/>
            </w:pPr>
            <w:r>
              <w:t>Configuration set XRD-6000</w:t>
            </w:r>
          </w:p>
        </w:tc>
      </w:tr>
      <w:tr>
        <w:tc>
          <w:tcPr>
            <w:tcW w:type="dxa" w:w="2880"/>
          </w:tcPr>
          <w:p>
            <w:pPr>
              <w:jc w:val="center"/>
            </w:pPr>
            <w:r>
              <w:t>Almond Oil, Beeswax, Glycerin</w:t>
            </w:r>
          </w:p>
        </w:tc>
        <w:tc>
          <w:tcPr>
            <w:tcW w:type="dxa" w:w="2880"/>
          </w:tcPr>
          <w:p>
            <w:pPr>
              <w:jc w:val="center"/>
            </w:pPr>
            <w:r>
              <w:t>Titrator</w:t>
            </w:r>
          </w:p>
        </w:tc>
        <w:tc>
          <w:tcPr>
            <w:tcW w:type="dxa" w:w="2880"/>
          </w:tcPr>
          <w:p>
            <w:pPr>
              <w:jc w:val="center"/>
            </w:pPr>
            <w:r>
              <w:t>Utilization order T-905</w:t>
            </w:r>
          </w:p>
        </w:tc>
      </w:tr>
      <w:tr>
        <w:tc>
          <w:tcPr>
            <w:tcW w:type="dxa" w:w="2880"/>
          </w:tcPr>
          <w:p>
            <w:pPr>
              <w:jc w:val="center"/>
            </w:pPr>
            <w:r>
              <w:t>Jojoba Oil, Beeswax</w:t>
            </w:r>
          </w:p>
        </w:tc>
        <w:tc>
          <w:tcPr>
            <w:tcW w:type="dxa" w:w="2880"/>
          </w:tcPr>
          <w:p>
            <w:pPr>
              <w:jc w:val="center"/>
            </w:pPr>
            <w:r>
              <w:t>Gas Chromatograph</w:t>
            </w:r>
          </w:p>
        </w:tc>
        <w:tc>
          <w:tcPr>
            <w:tcW w:type="dxa" w:w="2880"/>
          </w:tcPr>
          <w:p>
            <w:pPr>
              <w:jc w:val="center"/>
            </w:pPr>
            <w:r>
              <w:t>Application module GC-2010</w:t>
            </w:r>
          </w:p>
        </w:tc>
      </w:tr>
      <w:tr>
        <w:tc>
          <w:tcPr>
            <w:tcW w:type="dxa" w:w="2880"/>
          </w:tcPr>
          <w:p>
            <w:pPr>
              <w:jc w:val="center"/>
            </w:pPr>
            <w:r>
              <w:t>Jojoba Oil, Gum, Glycerin</w:t>
            </w:r>
          </w:p>
        </w:tc>
        <w:tc>
          <w:tcPr>
            <w:tcW w:type="dxa" w:w="2880"/>
          </w:tcPr>
          <w:p>
            <w:pPr>
              <w:jc w:val="center"/>
            </w:pPr>
            <w:r>
              <w:t>pH Meter</w:t>
            </w:r>
          </w:p>
        </w:tc>
        <w:tc>
          <w:tcPr>
            <w:tcW w:type="dxa" w:w="2880"/>
          </w:tcPr>
          <w:p>
            <w:pPr>
              <w:jc w:val="center"/>
            </w:pPr>
            <w:r>
              <w:t>Protocol division PH-700</w:t>
            </w:r>
          </w:p>
        </w:tc>
      </w:tr>
    </w:tbl>
    <w:p>
      <w:r>
        <w:t>Observations and Measurements</w:t>
      </w:r>
    </w:p>
    <w:p>
      <w:r>
        <w:t>During our experiments, each sample mix exhibited distinct behavior under the standardized test settings:</w:t>
      </w:r>
    </w:p>
    <w:p>
      <w:r>
        <w:t>Diurnal variation noted was negligible.</w:t>
      </w:r>
    </w:p>
    <w:p>
      <w:r>
        <w:t>Sample 2: Coconut Oil, Gum, Glycerin</w:t>
      </w:r>
    </w:p>
    <w:p>
      <w:r>
        <w:t>Peak intensity differed across crystalline phases.</w:t>
      </w:r>
    </w:p>
    <w:p>
      <w:r>
        <w:t>Sample 3: Almond Oil, Beeswax, Glycerin</w:t>
      </w:r>
    </w:p>
    <w:p>
      <w:r>
        <w:t>Equivalence point exceeded projected titration curve.</w:t>
      </w:r>
    </w:p>
    <w:p>
      <w:r>
        <w:t>Sample 4: Jojoba Oil, Beeswax</w:t>
      </w:r>
    </w:p>
    <w:p>
      <w:r>
        <w:t>Low noise-to-signal ratio maintained throughout.</w:t>
      </w:r>
    </w:p>
    <w:p>
      <w:r>
        <w:t>Sample 5: Jojoba Oil, Gum, Glycerin</w:t>
      </w:r>
    </w:p>
    <w:p>
      <w:r>
        <w:t>Miscellaneous Off-Topic Information</w:t>
      </w:r>
    </w:p>
    <w:p>
      <w:r>
        <w:t>During the analysis period, a variety of external factors, such as unplanned maintenance of the lab's HVAC system and uncalculated power fluctuations, were reported. Despite these anomalies, result veracity was unaffected due to pre-emptive data recalibrations.</w:t>
      </w:r>
    </w:p>
    <w:p>
      <w:r>
        <w:t>Results and Discussion</w:t>
      </w:r>
    </w:p>
    <w:p>
      <w:r>
        <w:t>The results collated above indicate notable findings. For instance, Sample 1's high conductivity emphasizes the ionic mobility afforded by Glycerin when mixed with Almond Oil. Sample 2 demonstrated a crystalline structure robust to heat exposure, a property immensely beneficial for heat-resistant formulations.</w:t>
      </w:r>
    </w:p>
    <w:p>
      <w:r>
        <w:t>The pH levels registered from Sample 5 reflect a neutral character, fitting applications requiring mildness in skin-contact products. Gas chromatographic analysis of Sample 4 indicates the presence of volatile compounds typical to Jojoba oil blends, promising for aromatherapeutic uses.</w:t>
      </w:r>
    </w:p>
    <w:p>
      <w:r>
        <w:t>Further Investigation</w:t>
      </w:r>
    </w:p>
    <w:p>
      <w:r>
        <w:t>Future research should focus on modifying compound concentrations to explore non-linear interactive effects. Investigating other external influences (ambient temperature, humidity) on mixture properties could elucidate additional stability dynamics.</w:t>
      </w:r>
    </w:p>
    <w:p>
      <w:r>
        <w:t>Conclusion</w:t>
      </w:r>
    </w:p>
    <w:p>
      <w:r>
        <w:t>The study conducted as per Report_2418 offers critical insights into the physical and chemical attributes of the tested mixtures. Detailed characterization has potential applications in diverse fields ranging from dermatology to food sciences, where precise component interaction knowledge is invaluable.</w:t>
      </w:r>
    </w:p>
    <w:p>
      <w:r>
        <w:t>Appendix</w:t>
      </w:r>
    </w:p>
    <w:p>
      <w:r>
        <w:t>Table of Intrusive Elements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Element ID</w:t>
            </w:r>
          </w:p>
        </w:tc>
        <w:tc>
          <w:tcPr>
            <w:tcW w:type="dxa" w:w="2880"/>
          </w:tcPr>
          <w:p>
            <w:pPr>
              <w:jc w:val="center"/>
            </w:pPr>
            <w:r>
              <w:rPr>
                <w:b/>
              </w:rPr>
              <w:t>Description</w:t>
            </w:r>
          </w:p>
        </w:tc>
        <w:tc>
          <w:tcPr>
            <w:tcW w:type="dxa" w:w="2880"/>
          </w:tcPr>
          <w:p>
            <w:pPr>
              <w:jc w:val="center"/>
            </w:pPr>
            <w:r>
              <w:rPr>
                <w:b/>
              </w:rPr>
              <w:t>Impact Level</w:t>
            </w:r>
          </w:p>
        </w:tc>
      </w:tr>
      <w:tr>
        <w:tc>
          <w:tcPr>
            <w:tcW w:type="dxa" w:w="2880"/>
          </w:tcPr>
          <w:p>
            <w:pPr>
              <w:jc w:val="center"/>
            </w:pPr>
            <w:r>
              <w:t>A45</w:t>
            </w:r>
          </w:p>
        </w:tc>
        <w:tc>
          <w:tcPr>
            <w:tcW w:type="dxa" w:w="2880"/>
          </w:tcPr>
          <w:p>
            <w:pPr>
              <w:jc w:val="center"/>
            </w:pPr>
            <w:r>
              <w:t>HVAC Fluctuation</w:t>
            </w:r>
          </w:p>
        </w:tc>
        <w:tc>
          <w:tcPr>
            <w:tcW w:type="dxa" w:w="2880"/>
          </w:tcPr>
          <w:p>
            <w:pPr>
              <w:jc w:val="center"/>
            </w:pPr>
            <w:r>
              <w:t>Minimal</w:t>
            </w:r>
          </w:p>
        </w:tc>
      </w:tr>
      <w:tr>
        <w:tc>
          <w:tcPr>
            <w:tcW w:type="dxa" w:w="2880"/>
          </w:tcPr>
          <w:p>
            <w:pPr>
              <w:jc w:val="center"/>
            </w:pPr>
            <w:r>
              <w:t>B13</w:t>
            </w:r>
          </w:p>
        </w:tc>
        <w:tc>
          <w:tcPr>
            <w:tcW w:type="dxa" w:w="2880"/>
          </w:tcPr>
          <w:p>
            <w:pPr>
              <w:jc w:val="center"/>
            </w:pPr>
            <w:r>
              <w:t>Power Variance</w:t>
            </w:r>
          </w:p>
        </w:tc>
        <w:tc>
          <w:tcPr>
            <w:tcW w:type="dxa" w:w="2880"/>
          </w:tcPr>
          <w:p>
            <w:pPr>
              <w:jc w:val="center"/>
            </w:pPr>
            <w:r>
              <w:t>Moderate</w:t>
            </w:r>
          </w:p>
        </w:tc>
      </w:tr>
      <w:tr>
        <w:tc>
          <w:tcPr>
            <w:tcW w:type="dxa" w:w="2880"/>
          </w:tcPr>
          <w:p>
            <w:pPr>
              <w:jc w:val="center"/>
            </w:pPr>
            <w:r>
              <w:t>C27</w:t>
            </w:r>
          </w:p>
        </w:tc>
        <w:tc>
          <w:tcPr>
            <w:tcW w:type="dxa" w:w="2880"/>
          </w:tcPr>
          <w:p>
            <w:pPr>
              <w:jc w:val="center"/>
            </w:pPr>
            <w:r>
              <w:t>Unexpected Downtime</w:t>
            </w:r>
          </w:p>
        </w:tc>
        <w:tc>
          <w:tcPr>
            <w:tcW w:type="dxa" w:w="2880"/>
          </w:tcPr>
          <w:p>
            <w:pPr>
              <w:jc w:val="center"/>
            </w:pPr>
            <w:r>
              <w:t>Insignificant</w:t>
            </w:r>
          </w:p>
        </w:tc>
      </w:tr>
    </w:tbl>
    <w:p>
      <w:r>
        <w:t>This report, although peppered with intricate auxiliary details, aims to maintain clarity for professional interpretation while resisting simplification by non-human interference methodologies.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