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Complex Mixture Analysis</w:t>
      </w:r>
    </w:p>
    <w:p>
      <w:r>
        <w:t>Introduction</w:t>
      </w:r>
    </w:p>
    <w:p>
      <w:r>
        <w:t>In recent studies conducted to assess various oil-based formulations, distinct mixtures of oils and related compounds were analyzed using diverse analytical techniques. This evaluation provides essential insights into the properties of such formulations through different domains, namely, pH stability, UV absorption, ionic concentration, amplification efficiency, molecular structure, mechanical behavior, infrared absorption, spectral emission, and conductivity.</w:t>
      </w:r>
    </w:p>
    <w:p>
      <w:r>
        <w:t>Materials and Methods</w:t>
      </w:r>
    </w:p>
    <w:p>
      <w:r>
        <w:t>The following test samples were prepared using specific combinations of ingredients:</w:t>
      </w:r>
    </w:p>
    <w:p>
      <w:r>
        <w:t>These mixtures were subjected to the following instruments for analysis alongside their corresponding analytical parameters:</w:t>
      </w:r>
    </w:p>
    <w:p>
      <w:r>
        <w:t>Results</w:t>
      </w:r>
    </w:p>
    <w:p>
      <w:r>
        <w:t>Results from the various analytical techniques are compiled below:</w:t>
      </w:r>
    </w:p>
    <w:p>
      <w:r>
        <w:t>Table 1: pH and Spectroscopic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 Used</w:t>
            </w:r>
          </w:p>
        </w:tc>
        <w:tc>
          <w:tcPr>
            <w:tcW w:type="dxa" w:w="1728"/>
          </w:tcPr>
          <w:p>
            <w:pPr>
              <w:jc w:val="center"/>
            </w:pPr>
            <w:r>
              <w:rPr>
                <w:b/>
              </w:rPr>
              <w:t>Observation (Key)</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Sample 1</w:t>
            </w:r>
          </w:p>
        </w:tc>
        <w:tc>
          <w:tcPr>
            <w:tcW w:type="dxa" w:w="1728"/>
          </w:tcPr>
          <w:p>
            <w:pPr>
              <w:jc w:val="center"/>
            </w:pPr>
            <w:r>
              <w:t>pH Meter PH-700</w:t>
            </w:r>
          </w:p>
        </w:tc>
        <w:tc>
          <w:tcPr>
            <w:tcW w:type="dxa" w:w="1728"/>
          </w:tcPr>
          <w:p>
            <w:pPr>
              <w:jc w:val="center"/>
            </w:pPr>
            <w:r>
              <w:t>Neutral Medium</w:t>
            </w:r>
          </w:p>
        </w:tc>
        <w:tc>
          <w:tcPr>
            <w:tcW w:type="dxa" w:w="1728"/>
          </w:tcPr>
          <w:p>
            <w:pPr>
              <w:jc w:val="center"/>
            </w:pPr>
            <w:r>
              <w:t>7.2</w:t>
            </w:r>
          </w:p>
        </w:tc>
        <w:tc>
          <w:tcPr>
            <w:tcW w:type="dxa" w:w="1728"/>
          </w:tcPr>
          <w:p>
            <w:pPr>
              <w:jc w:val="center"/>
            </w:pPr>
            <w:r>
              <w:t>pH</w:t>
            </w:r>
          </w:p>
        </w:tc>
      </w:tr>
      <w:tr>
        <w:tc>
          <w:tcPr>
            <w:tcW w:type="dxa" w:w="1728"/>
          </w:tcPr>
          <w:p>
            <w:pPr>
              <w:jc w:val="center"/>
            </w:pPr>
            <w:r>
              <w:t>Sample 2</w:t>
            </w:r>
          </w:p>
        </w:tc>
        <w:tc>
          <w:tcPr>
            <w:tcW w:type="dxa" w:w="1728"/>
          </w:tcPr>
          <w:p>
            <w:pPr>
              <w:jc w:val="center"/>
            </w:pPr>
            <w:r>
              <w:t>UV-Vis Spectrophotometer UV-2600</w:t>
            </w:r>
          </w:p>
        </w:tc>
        <w:tc>
          <w:tcPr>
            <w:tcW w:type="dxa" w:w="1728"/>
          </w:tcPr>
          <w:p>
            <w:pPr>
              <w:jc w:val="center"/>
            </w:pPr>
            <w:r>
              <w:t>Absorbance High</w:t>
            </w:r>
          </w:p>
        </w:tc>
        <w:tc>
          <w:tcPr>
            <w:tcW w:type="dxa" w:w="1728"/>
          </w:tcPr>
          <w:p>
            <w:pPr>
              <w:jc w:val="center"/>
            </w:pPr>
            <w:r>
              <w:t>0.45</w:t>
            </w:r>
          </w:p>
        </w:tc>
        <w:tc>
          <w:tcPr>
            <w:tcW w:type="dxa" w:w="1728"/>
          </w:tcPr>
          <w:p>
            <w:pPr>
              <w:jc w:val="center"/>
            </w:pPr>
            <w:r>
              <w:t>Abs</w:t>
            </w:r>
          </w:p>
        </w:tc>
      </w:tr>
      <w:tr>
        <w:tc>
          <w:tcPr>
            <w:tcW w:type="dxa" w:w="1728"/>
          </w:tcPr>
          <w:p>
            <w:pPr>
              <w:jc w:val="center"/>
            </w:pPr>
            <w:r>
              <w:t>Sample 3</w:t>
            </w:r>
          </w:p>
        </w:tc>
        <w:tc>
          <w:tcPr>
            <w:tcW w:type="dxa" w:w="1728"/>
          </w:tcPr>
          <w:p>
            <w:pPr>
              <w:jc w:val="center"/>
            </w:pPr>
            <w:r>
              <w:t>Ion Chromatograph IC-2100</w:t>
            </w:r>
          </w:p>
        </w:tc>
        <w:tc>
          <w:tcPr>
            <w:tcW w:type="dxa" w:w="1728"/>
          </w:tcPr>
          <w:p>
            <w:pPr>
              <w:jc w:val="center"/>
            </w:pPr>
            <w:r>
              <w:t>Ionic Conc. High</w:t>
            </w:r>
          </w:p>
        </w:tc>
        <w:tc>
          <w:tcPr>
            <w:tcW w:type="dxa" w:w="1728"/>
          </w:tcPr>
          <w:p>
            <w:pPr>
              <w:jc w:val="center"/>
            </w:pPr>
            <w:r>
              <w:t>12.8</w:t>
            </w:r>
          </w:p>
        </w:tc>
        <w:tc>
          <w:tcPr>
            <w:tcW w:type="dxa" w:w="1728"/>
          </w:tcPr>
          <w:p>
            <w:pPr>
              <w:jc w:val="center"/>
            </w:pPr>
            <w:r>
              <w:t>mM</w:t>
            </w:r>
          </w:p>
        </w:tc>
      </w:tr>
      <w:tr>
        <w:tc>
          <w:tcPr>
            <w:tcW w:type="dxa" w:w="1728"/>
          </w:tcPr>
          <w:p>
            <w:pPr>
              <w:jc w:val="center"/>
            </w:pPr>
            <w:r>
              <w:t>Sample 8</w:t>
            </w:r>
          </w:p>
        </w:tc>
        <w:tc>
          <w:tcPr>
            <w:tcW w:type="dxa" w:w="1728"/>
          </w:tcPr>
          <w:p>
            <w:pPr>
              <w:jc w:val="center"/>
            </w:pPr>
            <w:r>
              <w:t>Spectrometer Alpha-300</w:t>
            </w:r>
          </w:p>
        </w:tc>
        <w:tc>
          <w:tcPr>
            <w:tcW w:type="dxa" w:w="1728"/>
          </w:tcPr>
          <w:p>
            <w:pPr>
              <w:jc w:val="center"/>
            </w:pPr>
            <w:r>
              <w:t>Emission Low</w:t>
            </w:r>
          </w:p>
        </w:tc>
        <w:tc>
          <w:tcPr>
            <w:tcW w:type="dxa" w:w="1728"/>
          </w:tcPr>
          <w:p>
            <w:pPr>
              <w:jc w:val="center"/>
            </w:pPr>
            <w:r>
              <w:t>520.0</w:t>
            </w:r>
          </w:p>
        </w:tc>
        <w:tc>
          <w:tcPr>
            <w:tcW w:type="dxa" w:w="1728"/>
          </w:tcPr>
          <w:p>
            <w:pPr>
              <w:jc w:val="center"/>
            </w:pPr>
            <w:r>
              <w:t>nm</w:t>
            </w:r>
          </w:p>
        </w:tc>
      </w:tr>
    </w:tbl>
    <w:p>
      <w:r>
        <w:t>Table 2: Mechanical, Chemical, and Molecular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 Used</w:t>
            </w:r>
          </w:p>
        </w:tc>
        <w:tc>
          <w:tcPr>
            <w:tcW w:type="dxa" w:w="1728"/>
          </w:tcPr>
          <w:p>
            <w:pPr>
              <w:jc w:val="center"/>
            </w:pPr>
            <w:r>
              <w:rPr>
                <w:b/>
              </w:rPr>
              <w:t>Observation (Key)</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Sample 6</w:t>
            </w:r>
          </w:p>
        </w:tc>
        <w:tc>
          <w:tcPr>
            <w:tcW w:type="dxa" w:w="1728"/>
          </w:tcPr>
          <w:p>
            <w:pPr>
              <w:jc w:val="center"/>
            </w:pPr>
            <w:r>
              <w:t>Rheometer R-4500</w:t>
            </w:r>
          </w:p>
        </w:tc>
        <w:tc>
          <w:tcPr>
            <w:tcW w:type="dxa" w:w="1728"/>
          </w:tcPr>
          <w:p>
            <w:pPr>
              <w:jc w:val="center"/>
            </w:pPr>
            <w:r>
              <w:t>High Viscosity</w:t>
            </w:r>
          </w:p>
        </w:tc>
        <w:tc>
          <w:tcPr>
            <w:tcW w:type="dxa" w:w="1728"/>
          </w:tcPr>
          <w:p>
            <w:pPr>
              <w:jc w:val="center"/>
            </w:pPr>
            <w:r>
              <w:t>325.7</w:t>
            </w:r>
          </w:p>
        </w:tc>
        <w:tc>
          <w:tcPr>
            <w:tcW w:type="dxa" w:w="1728"/>
          </w:tcPr>
          <w:p>
            <w:pPr>
              <w:jc w:val="center"/>
            </w:pPr>
            <w:r>
              <w:t>Pa-s</w:t>
            </w:r>
          </w:p>
        </w:tc>
      </w:tr>
      <w:tr>
        <w:tc>
          <w:tcPr>
            <w:tcW w:type="dxa" w:w="1728"/>
          </w:tcPr>
          <w:p>
            <w:pPr>
              <w:jc w:val="center"/>
            </w:pPr>
            <w:r>
              <w:t>Sample 5</w:t>
            </w:r>
          </w:p>
        </w:tc>
        <w:tc>
          <w:tcPr>
            <w:tcW w:type="dxa" w:w="1728"/>
          </w:tcPr>
          <w:p>
            <w:pPr>
              <w:jc w:val="center"/>
            </w:pPr>
            <w:r>
              <w:t>NMR Spectrometer NMR-500</w:t>
            </w:r>
          </w:p>
        </w:tc>
        <w:tc>
          <w:tcPr>
            <w:tcW w:type="dxa" w:w="1728"/>
          </w:tcPr>
          <w:p>
            <w:pPr>
              <w:jc w:val="center"/>
            </w:pPr>
            <w:r>
              <w:t>ppm Resonance Shift</w:t>
            </w:r>
          </w:p>
        </w:tc>
        <w:tc>
          <w:tcPr>
            <w:tcW w:type="dxa" w:w="1728"/>
          </w:tcPr>
          <w:p>
            <w:pPr>
              <w:jc w:val="center"/>
            </w:pPr>
            <w:r>
              <w:t>15.2</w:t>
            </w:r>
          </w:p>
        </w:tc>
        <w:tc>
          <w:tcPr>
            <w:tcW w:type="dxa" w:w="1728"/>
          </w:tcPr>
          <w:p>
            <w:pPr>
              <w:jc w:val="center"/>
            </w:pPr>
            <w:r>
              <w:t>ppm</w:t>
            </w:r>
          </w:p>
        </w:tc>
      </w:tr>
      <w:tr>
        <w:tc>
          <w:tcPr>
            <w:tcW w:type="dxa" w:w="1728"/>
          </w:tcPr>
          <w:p>
            <w:pPr>
              <w:jc w:val="center"/>
            </w:pPr>
            <w:r>
              <w:t>Sample 7</w:t>
            </w:r>
          </w:p>
        </w:tc>
        <w:tc>
          <w:tcPr>
            <w:tcW w:type="dxa" w:w="1728"/>
          </w:tcPr>
          <w:p>
            <w:pPr>
              <w:jc w:val="center"/>
            </w:pPr>
            <w:r>
              <w:t>FTIR Spectrometer FTIR-8400</w:t>
            </w:r>
          </w:p>
        </w:tc>
        <w:tc>
          <w:tcPr>
            <w:tcW w:type="dxa" w:w="1728"/>
          </w:tcPr>
          <w:p>
            <w:pPr>
              <w:jc w:val="center"/>
            </w:pPr>
            <w:r>
              <w:t>Strong IR Absorption</w:t>
            </w:r>
          </w:p>
        </w:tc>
        <w:tc>
          <w:tcPr>
            <w:tcW w:type="dxa" w:w="1728"/>
          </w:tcPr>
          <w:p>
            <w:pPr>
              <w:jc w:val="center"/>
            </w:pPr>
            <w:r>
              <w:t>2850.0</w:t>
            </w:r>
          </w:p>
        </w:tc>
        <w:tc>
          <w:tcPr>
            <w:tcW w:type="dxa" w:w="1728"/>
          </w:tcPr>
          <w:p>
            <w:pPr>
              <w:jc w:val="center"/>
            </w:pPr>
            <w:r>
              <w:t>1/cm</w:t>
            </w:r>
          </w:p>
        </w:tc>
      </w:tr>
      <w:tr>
        <w:tc>
          <w:tcPr>
            <w:tcW w:type="dxa" w:w="1728"/>
          </w:tcPr>
          <w:p>
            <w:pPr>
              <w:jc w:val="center"/>
            </w:pPr>
            <w:r>
              <w:t>Sample 4</w:t>
            </w:r>
          </w:p>
        </w:tc>
        <w:tc>
          <w:tcPr>
            <w:tcW w:type="dxa" w:w="1728"/>
          </w:tcPr>
          <w:p>
            <w:pPr>
              <w:jc w:val="center"/>
            </w:pPr>
            <w:r>
              <w:t>PCR Machine PCR-96</w:t>
            </w:r>
          </w:p>
        </w:tc>
        <w:tc>
          <w:tcPr>
            <w:tcW w:type="dxa" w:w="1728"/>
          </w:tcPr>
          <w:p>
            <w:pPr>
              <w:jc w:val="center"/>
            </w:pPr>
            <w:r>
              <w:t>Ct Peak</w:t>
            </w:r>
          </w:p>
        </w:tc>
        <w:tc>
          <w:tcPr>
            <w:tcW w:type="dxa" w:w="1728"/>
          </w:tcPr>
          <w:p>
            <w:pPr>
              <w:jc w:val="center"/>
            </w:pPr>
            <w:r>
              <w:t>22.3</w:t>
            </w:r>
          </w:p>
        </w:tc>
        <w:tc>
          <w:tcPr>
            <w:tcW w:type="dxa" w:w="1728"/>
          </w:tcPr>
          <w:p>
            <w:pPr>
              <w:jc w:val="center"/>
            </w:pPr>
            <w:r>
              <w:t>Ct</w:t>
            </w:r>
          </w:p>
        </w:tc>
      </w:tr>
      <w:tr>
        <w:tc>
          <w:tcPr>
            <w:tcW w:type="dxa" w:w="1728"/>
          </w:tcPr>
          <w:p>
            <w:pPr>
              <w:jc w:val="center"/>
            </w:pPr>
            <w:r>
              <w:t>Sample 9</w:t>
            </w:r>
          </w:p>
        </w:tc>
        <w:tc>
          <w:tcPr>
            <w:tcW w:type="dxa" w:w="1728"/>
          </w:tcPr>
          <w:p>
            <w:pPr>
              <w:jc w:val="center"/>
            </w:pPr>
            <w:r>
              <w:t>Conductivity Meter CM-215</w:t>
            </w:r>
          </w:p>
        </w:tc>
        <w:tc>
          <w:tcPr>
            <w:tcW w:type="dxa" w:w="1728"/>
          </w:tcPr>
          <w:p>
            <w:pPr>
              <w:jc w:val="center"/>
            </w:pPr>
            <w:r>
              <w:t>High Conductivity</w:t>
            </w:r>
          </w:p>
        </w:tc>
        <w:tc>
          <w:tcPr>
            <w:tcW w:type="dxa" w:w="1728"/>
          </w:tcPr>
          <w:p>
            <w:pPr>
              <w:jc w:val="center"/>
            </w:pPr>
            <w:r>
              <w:t>1200.0</w:t>
            </w:r>
          </w:p>
        </w:tc>
        <w:tc>
          <w:tcPr>
            <w:tcW w:type="dxa" w:w="1728"/>
          </w:tcPr>
          <w:p>
            <w:pPr>
              <w:jc w:val="center"/>
            </w:pPr>
            <w:r>
              <w:t>uS/cm</w:t>
            </w:r>
          </w:p>
        </w:tc>
      </w:tr>
    </w:tbl>
    <w:p>
      <w:r>
        <w:t>Discussion</w:t>
      </w:r>
    </w:p>
    <w:p>
      <w:r>
        <w:t>Sample 1was assessed using the pH Meter PH-700, revealing a neutral pH indicative of a stable medium suitable for a variety of applications in skincare formulations. Despite its simplicity, the pH evaluation underscores the medium's potential behind its gentle nature on human skin.</w:t>
      </w:r>
    </w:p>
    <w:p>
      <w:r>
        <w:t>TheUV-Vis Spectroscopyof Sample 2 highlights a modest absorptive capacity, quantified at 0.45 Abs, showcasing its utility in screens against specific wavelengths of UV light, possibly linked to the Vitamin E content.</w:t>
      </w:r>
    </w:p>
    <w:p>
      <w:r>
        <w:t>ForSample 3, a notable ionic concentration of 12.8 mM was measured with Ion Chromatography, suggesting potential for electrolyte balance in skin treatments due to the presence of Almond Oil.</w:t>
      </w:r>
    </w:p>
    <w:p>
      <w:r>
        <w:t>Rheological analysisof Sample 6 emphasized a viscosity of 325.7 Pa-s, denoting a robust consistency suited for applications needing a stable emulsification or suspension.</w:t>
      </w:r>
    </w:p>
    <w:p>
      <w:r>
        <w:t>TheNMR analysisof Sample 5 exhibited shifts indicative of specific molecular interactions, while FTIR results from Sample 7 demonstrated significant infrared absorption, potentially due to hydroxyl or ester functionalities.</w:t>
      </w:r>
    </w:p>
    <w:p>
      <w:r>
        <w:t>Conclusion</w:t>
      </w:r>
    </w:p>
    <w:p>
      <w:r>
        <w:t>The variety of these formulations reveals a complexity that spans various functional properties, supporting their use in diverse end-use applications—from skincare to protective lotions. While some samples exhibited high viscosities, others demonstrated considerable ionic potential or UV protective qualities, each parameter contributing uniquely to the formulation's overall capabilities.</w:t>
      </w:r>
    </w:p>
    <w:p>
      <w:r>
        <w:t>These results collectively provide a layered understanding of how each component within a formulation influences the end-use properties, guiding future formulation developments in both cosmetic and functional product domains.</w:t>
      </w:r>
    </w:p>
    <w:p>
      <w:r>
        <w:t>Notes</w:t>
      </w:r>
    </w:p>
    <w:p>
      <w:r>
        <w:t>Irrelevant Information: Despite some unexpected/unobserved color change in the rheological tests or the incidental detection of faint odors in FTIR analyses, such observations were contextually negligible and non-essential to the core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