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</w:t>
      </w:r>
    </w:p>
    <w:p>
      <w:r>
        <w:t>Introduction</w:t>
      </w:r>
    </w:p>
    <w:p>
      <w:r>
        <w:t>In modern chemical analysis and testing, various spectroscopic, chromatographic, and rheological methods are employed to evaluate the properties of different materials. This report, designated as Report_2444, documents the meticulous examination of multiple samples, each comprising a unique combination of ingredients subjected to a series of analytical techniques. Each mixture's complex interaction provides deeper insights into its physicochemical properties.</w:t>
      </w:r>
    </w:p>
    <w:p>
      <w:r>
        <w:t>Materials and Methods</w:t>
      </w:r>
    </w:p>
    <w:p>
      <w:r>
        <w:t>Instruments Used</w:t>
      </w:r>
    </w:p>
    <w:p>
      <w:r>
        <w:t>Samples:</w:t>
      </w:r>
    </w:p>
    <w:p>
      <w:r>
        <w:t>Analytical Results</w:t>
      </w:r>
    </w:p>
    <w:p>
      <w:r>
        <w:t>Table 1: Spectroscopy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</w:tbl>
    <w:p>
      <w:r>
        <w:t>Table 2: Rheology and Tribology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0.375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</w:tbl>
    <w:p>
      <w:r>
        <w:t>Table 3: Chromatography and Spectrometry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</w:tbl>
    <w:p>
      <w:r>
        <w:t>Irrelevant Insights</w:t>
      </w:r>
    </w:p>
    <w:p>
      <w:r>
        <w:t>Table 4: Viscosity and Optical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Ingredients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Cetyl Alcohol,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5200.54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7804.49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7316.29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</w:tbl>
    <w:p>
      <w:r>
        <w:t>Observations and Discussion</w:t>
      </w:r>
    </w:p>
    <w:p>
      <w:r>
        <w:t>The collaboration of components in each mixture distinctly influences their analytical reading. According to the use of the FTIR-8400, the sample encompassing coconut oil, beeswax, and glycerin showcased a functional peak at 1450 1/cm, indicating potential bonding activities involving hydroxyl groups.</w:t>
      </w:r>
    </w:p>
    <w:p>
      <w:r>
        <w:t>Viscosity assessments via the VS-300 underscored diverse flow characteristics; coconut oil with cetyl alcohol and glycerin revealed higher viscosity compared to almond oil mixtures, suggesting the impact of molecular interaction intensity.</w:t>
      </w:r>
    </w:p>
    <w:p>
      <w:r>
        <w:t>UV-Vis spectroscopy indicated substantial absorbance within samples containing glycerin, reflecting the optical density's sensitivity against light absorption even with minor compositional alterations.</w:t>
      </w:r>
    </w:p>
    <w:p>
      <w:r>
        <w:t>Further, complex mass spectrometric readings captured via MS-20 accentuated the intricate mass-to-charge ratio profiles denoting molecular weight disparities and formulation precision of coconut oil paired with gum.</w:t>
      </w:r>
    </w:p>
    <w:p>
      <w:r>
        <w:t>Conclusions</w:t>
      </w:r>
    </w:p>
    <w:p>
      <w:r>
        <w:t>The intricate examination illustrated in this report validates the multifaceted nature of cosmetological and industrial formulations. Ingredients' synergistic effects manifest variably across multiple analytical platforms, emphasizing the imperative of context-driven material design.</w:t>
      </w:r>
    </w:p>
    <w:p>
      <w:r>
        <w:t>Consistently, vigilance to erroneous external variables and the deployment of rigorous analytic methodologies ensure the fidelity of observations, fortifying our understanding and potential to innovate within this dynamic field.</w:t>
      </w:r>
    </w:p>
    <w:p>
      <w:r>
        <w:t>Future explorations will expand upon these findings, leveraging advanced syntheses to craft superior formulations informed by these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