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2461: Comprehensive Analysis of Oil-Based Samples</w:t>
      </w:r>
    </w:p>
    <w:p>
      <w:r>
        <w:t>Introduction:</w:t>
      </w:r>
    </w:p>
    <w:p>
      <w:r>
        <w:t>This report documents the analysis of various oil-based samples using multiple analytical instruments. Each sample comprised different mixtures, and the data acquired provided insights into their chemical properties. The analyses were carried out using techniques such as Ion Chromatography, Mass Spectrometry, Conductivity Measurement, and others, spread across several sessions to ensure comprehensive profiling.</w:t>
      </w:r>
    </w:p>
    <w:p>
      <w:r>
        <w:t>Instrumentation and Methodology:</w:t>
      </w:r>
    </w:p>
    <w:p>
      <w:r>
        <w:t>Different instruments were employed for the fine analysis of each sample. The Ion Chromatograph IC-2100 was used to determine ionic concentrations. Mass Spectrometer MS-20 assisted in identifying molecular weights, while the Conductivity Meter CM-215 offered insights into ionic conduction. The Spectrometer Alpha-300 determined absorbance, and the Thermocycler TC-5000 helped measure thermal properties. Finally, the Viscometer VS-300 was utilized to assess viscosity.</w:t>
      </w:r>
    </w:p>
    <w:p>
      <w:r>
        <w:t>Observations and Measurements:</w:t>
      </w:r>
    </w:p>
    <w:p>
      <w:r>
        <w:t>Ion Chromatograph IC-2100:</w:t>
      </w:r>
    </w:p>
    <w:p>
      <w:r>
        <w:t>Coconut Oil, Beeswax, Glycerin:Detected ions measured at 35.762 mM, indicating potential interactions in emulsion form.</w:t>
      </w:r>
    </w:p>
    <w:p>
      <w:r>
        <w:t>Coconut Oil, Cetyl Alcohol:Notable presence of ions at 25.489 mM.</w:t>
      </w:r>
    </w:p>
    <w:p>
      <w:r>
        <w:t>Mass Spectrometer MS-20:</w:t>
      </w:r>
    </w:p>
    <w:p>
      <w:r>
        <w:t>Jojoba Oil, Vitamin E:Detected mass/charge ratio at 712 m/z, lending to its complex molecular structure.</w:t>
      </w:r>
    </w:p>
    <w:p>
      <w:r>
        <w:t>Conductivity Meter CM-215:</w:t>
      </w:r>
    </w:p>
    <w:p>
      <w:r>
        <w:t>Jojoba Oil, Beeswax, Vitamin E:Registered conductivity at 1700 uS/cm, suggestive of significant ionic conductance.</w:t>
      </w:r>
    </w:p>
    <w:p>
      <w:r>
        <w:t>(Irrelevant note: Average room temperature noted during tests was 21°C.)</w:t>
      </w:r>
    </w:p>
    <w:p>
      <w:r>
        <w:t>Spectrometer Alpha-300:</w:t>
      </w:r>
    </w:p>
    <w:p>
      <w:r>
        <w:t>Almond Oil, Vitamin E:Showed maximum absorption at 600 nm wavelength, illuminating its rich composition.</w:t>
      </w:r>
    </w:p>
    <w:p>
      <w:r>
        <w:t>Thermocycler TC-5000:</w:t>
      </w:r>
    </w:p>
    <w:p>
      <w:r>
        <w:t>Coconut Oil, Cetyl Alcohol, Glycerin:Managed temperatures peaked at 58°C, suggesting thermal stability.</w:t>
      </w:r>
    </w:p>
    <w:p>
      <w:r>
        <w:t>Viscometer VS-300:</w:t>
      </w:r>
    </w:p>
    <w:p>
      <w:r>
        <w:t>Jojoba Oil, Beeswax, Glycerin:Demonstrated viscosity of 3104.88 cP, reflecting the fluid dynamics.</w:t>
      </w:r>
    </w:p>
    <w:p>
      <w:r>
        <w:t>Results and Discussion:</w:t>
      </w:r>
    </w:p>
    <w:p>
      <w:r>
        <w:t>A complex, multi-instrumental analysis outlined the distinct properties of each sample mixture. For instance, the combination of Jojoba Oil, Beeswax, and Glycerin showed diverse results across platforms, with elevated viscosity and moderate ionic presence, indicative of its potential use in high-stability cosmetic formulations.</w:t>
      </w:r>
    </w:p>
    <w:p>
      <w:r>
        <w:t>Furthermore, Coconut Oil and Cetyl Alcohol exhibited unique mass spectrometry peaks at 375 m/z and significant thermal responses, providing insights into possible structural transformations at increased temperatures. Meanwhile, almond-derived formulations demonstrated high light absorption, likely due to Vitamin E components.</w:t>
      </w:r>
    </w:p>
    <w:p>
      <w:r>
        <w:t>Table 1: Instrumental Data of Mixtures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Mixture</w:t>
            </w:r>
          </w:p>
        </w:tc>
        <w:tc>
          <w:tcPr>
            <w:tcW w:type="dxa" w:w="1234"/>
          </w:tcPr>
          <w:p>
            <w:pPr>
              <w:jc w:val="center"/>
            </w:pPr>
            <w:r>
              <w:rPr>
                <w:b/>
              </w:rPr>
              <w:t>IC (mM)</w:t>
            </w:r>
          </w:p>
        </w:tc>
        <w:tc>
          <w:tcPr>
            <w:tcW w:type="dxa" w:w="1234"/>
          </w:tcPr>
          <w:p>
            <w:pPr>
              <w:jc w:val="center"/>
            </w:pPr>
            <w:r>
              <w:rPr>
                <w:b/>
              </w:rPr>
              <w:t>MS (m/z)</w:t>
            </w:r>
          </w:p>
        </w:tc>
        <w:tc>
          <w:tcPr>
            <w:tcW w:type="dxa" w:w="1234"/>
          </w:tcPr>
          <w:p>
            <w:pPr>
              <w:jc w:val="center"/>
            </w:pPr>
            <w:r>
              <w:rPr>
                <w:b/>
              </w:rPr>
              <w:t>CM (uS/cm)</w:t>
            </w:r>
          </w:p>
        </w:tc>
        <w:tc>
          <w:tcPr>
            <w:tcW w:type="dxa" w:w="1234"/>
          </w:tcPr>
          <w:p>
            <w:pPr>
              <w:jc w:val="center"/>
            </w:pPr>
            <w:r>
              <w:rPr>
                <w:b/>
              </w:rPr>
              <w:t>SP (nm)</w:t>
            </w:r>
          </w:p>
        </w:tc>
        <w:tc>
          <w:tcPr>
            <w:tcW w:type="dxa" w:w="1234"/>
          </w:tcPr>
          <w:p>
            <w:pPr>
              <w:jc w:val="center"/>
            </w:pPr>
            <w:r>
              <w:rPr>
                <w:b/>
              </w:rPr>
              <w:t>TC (C)</w:t>
            </w:r>
          </w:p>
        </w:tc>
        <w:tc>
          <w:tcPr>
            <w:tcW w:type="dxa" w:w="1234"/>
          </w:tcPr>
          <w:p>
            <w:pPr>
              <w:jc w:val="center"/>
            </w:pPr>
            <w:r>
              <w:rPr>
                <w:b/>
              </w:rPr>
              <w:t>VS (cP)</w:t>
            </w:r>
          </w:p>
        </w:tc>
      </w:tr>
      <w:tr>
        <w:tc>
          <w:tcPr>
            <w:tcW w:type="dxa" w:w="1234"/>
          </w:tcPr>
          <w:p>
            <w:pPr>
              <w:jc w:val="center"/>
            </w:pPr>
            <w:r>
              <w:t>Coconut Oil, Beeswax, Glycerin</w:t>
            </w:r>
          </w:p>
        </w:tc>
        <w:tc>
          <w:tcPr>
            <w:tcW w:type="dxa" w:w="1234"/>
          </w:tcPr>
          <w:p>
            <w:pPr>
              <w:jc w:val="center"/>
            </w:pPr>
            <w:r>
              <w:t>35.762</w:t>
            </w:r>
          </w:p>
        </w:tc>
        <w:tc>
          <w:tcPr>
            <w:tcW w:type="dxa" w:w="1234"/>
          </w:tcPr>
          <w:p>
            <w:pPr>
              <w:jc w:val="center"/>
            </w:pPr>
            <w:r>
              <w:t>452</w:t>
            </w:r>
          </w:p>
        </w:tc>
        <w:tc>
          <w:tcPr>
            <w:tcW w:type="dxa" w:w="1234"/>
          </w:tcPr>
          <w:p>
            <w:pPr>
              <w:jc w:val="center"/>
            </w:pPr>
            <w:r>
              <w:t>1500</w:t>
            </w:r>
          </w:p>
        </w:tc>
        <w:tc>
          <w:tcPr>
            <w:tcW w:type="dxa" w:w="1234"/>
          </w:tcPr>
          <w:p>
            <w:pPr>
              <w:jc w:val="center"/>
            </w:pPr>
            <w:r>
              <w:t>350</w:t>
            </w:r>
          </w:p>
        </w:tc>
        <w:tc>
          <w:tcPr>
            <w:tcW w:type="dxa" w:w="1234"/>
          </w:tcPr>
          <w:p>
            <w:pPr>
              <w:jc w:val="center"/>
            </w:pPr>
            <w:r>
              <w:t>32</w:t>
            </w:r>
          </w:p>
        </w:tc>
        <w:tc>
          <w:tcPr>
            <w:tcW w:type="dxa" w:w="1234"/>
          </w:tcPr>
          <w:p>
            <w:pPr>
              <w:jc w:val="center"/>
            </w:pPr>
            <w:r>
              <w:t>nan</w:t>
            </w:r>
          </w:p>
        </w:tc>
      </w:tr>
      <w:tr>
        <w:tc>
          <w:tcPr>
            <w:tcW w:type="dxa" w:w="1234"/>
          </w:tcPr>
          <w:p>
            <w:pPr>
              <w:jc w:val="center"/>
            </w:pPr>
            <w:r>
              <w:t>Coconut Oil, Cetyl Alcohol</w:t>
            </w:r>
          </w:p>
        </w:tc>
        <w:tc>
          <w:tcPr>
            <w:tcW w:type="dxa" w:w="1234"/>
          </w:tcPr>
          <w:p>
            <w:pPr>
              <w:jc w:val="center"/>
            </w:pPr>
            <w:r>
              <w:t>25.489</w:t>
            </w:r>
          </w:p>
        </w:tc>
        <w:tc>
          <w:tcPr>
            <w:tcW w:type="dxa" w:w="1234"/>
          </w:tcPr>
          <w:p>
            <w:pPr>
              <w:jc w:val="center"/>
            </w:pPr>
            <w:r>
              <w:t>375</w:t>
            </w:r>
          </w:p>
        </w:tc>
        <w:tc>
          <w:tcPr>
            <w:tcW w:type="dxa" w:w="1234"/>
          </w:tcPr>
          <w:p>
            <w:pPr>
              <w:jc w:val="center"/>
            </w:pPr>
            <w:r>
              <w:t>1300</w:t>
            </w:r>
          </w:p>
        </w:tc>
        <w:tc>
          <w:tcPr>
            <w:tcW w:type="dxa" w:w="1234"/>
          </w:tcPr>
          <w:p>
            <w:pPr>
              <w:jc w:val="center"/>
            </w:pPr>
            <w:r>
              <w:t>442</w:t>
            </w:r>
          </w:p>
        </w:tc>
        <w:tc>
          <w:tcPr>
            <w:tcW w:type="dxa" w:w="1234"/>
          </w:tcPr>
          <w:p>
            <w:pPr>
              <w:jc w:val="center"/>
            </w:pPr>
            <w:r>
              <w:t>45</w:t>
            </w:r>
          </w:p>
        </w:tc>
        <w:tc>
          <w:tcPr>
            <w:tcW w:type="dxa" w:w="1234"/>
          </w:tcPr>
          <w:p>
            <w:pPr>
              <w:jc w:val="center"/>
            </w:pPr>
            <w:r>
              <w:t>nan</w:t>
            </w:r>
          </w:p>
        </w:tc>
      </w:tr>
      <w:tr>
        <w:tc>
          <w:tcPr>
            <w:tcW w:type="dxa" w:w="1234"/>
          </w:tcPr>
          <w:p>
            <w:pPr>
              <w:jc w:val="center"/>
            </w:pPr>
            <w:r>
              <w:t>Coconut Oil, Cetyl Alcohol, Glycerin</w:t>
            </w:r>
          </w:p>
        </w:tc>
        <w:tc>
          <w:tcPr>
            <w:tcW w:type="dxa" w:w="1234"/>
          </w:tcPr>
          <w:p>
            <w:pPr>
              <w:jc w:val="center"/>
            </w:pPr>
            <w:r>
              <w:t>42.318</w:t>
            </w:r>
          </w:p>
        </w:tc>
        <w:tc>
          <w:tcPr>
            <w:tcW w:type="dxa" w:w="1234"/>
          </w:tcPr>
          <w:p>
            <w:pPr>
              <w:jc w:val="center"/>
            </w:pPr>
            <w:r>
              <w:t>587</w:t>
            </w:r>
          </w:p>
        </w:tc>
        <w:tc>
          <w:tcPr>
            <w:tcW w:type="dxa" w:w="1234"/>
          </w:tcPr>
          <w:p>
            <w:pPr>
              <w:jc w:val="center"/>
            </w:pPr>
            <w:r>
              <w:t>1650</w:t>
            </w:r>
          </w:p>
        </w:tc>
        <w:tc>
          <w:tcPr>
            <w:tcW w:type="dxa" w:w="1234"/>
          </w:tcPr>
          <w:p>
            <w:pPr>
              <w:jc w:val="center"/>
            </w:pPr>
            <w:r>
              <w:t>515</w:t>
            </w:r>
          </w:p>
        </w:tc>
        <w:tc>
          <w:tcPr>
            <w:tcW w:type="dxa" w:w="1234"/>
          </w:tcPr>
          <w:p>
            <w:pPr>
              <w:jc w:val="center"/>
            </w:pPr>
            <w:r>
              <w:t>58</w:t>
            </w:r>
          </w:p>
        </w:tc>
        <w:tc>
          <w:tcPr>
            <w:tcW w:type="dxa" w:w="1234"/>
          </w:tcPr>
          <w:p>
            <w:pPr>
              <w:jc w:val="center"/>
            </w:pPr>
            <w:r>
              <w:t>nan</w:t>
            </w:r>
          </w:p>
        </w:tc>
      </w:tr>
      <w:tr>
        <w:tc>
          <w:tcPr>
            <w:tcW w:type="dxa" w:w="1234"/>
          </w:tcPr>
          <w:p>
            <w:pPr>
              <w:jc w:val="center"/>
            </w:pPr>
            <w:r>
              <w:t>Jojoba Oil, Vitamin E</w:t>
            </w:r>
          </w:p>
        </w:tc>
        <w:tc>
          <w:tcPr>
            <w:tcW w:type="dxa" w:w="1234"/>
          </w:tcPr>
          <w:p>
            <w:pPr>
              <w:jc w:val="center"/>
            </w:pPr>
            <w:r>
              <w:t>56.147</w:t>
            </w:r>
          </w:p>
        </w:tc>
        <w:tc>
          <w:tcPr>
            <w:tcW w:type="dxa" w:w="1234"/>
          </w:tcPr>
          <w:p>
            <w:pPr>
              <w:jc w:val="center"/>
            </w:pPr>
            <w:r>
              <w:t>712</w:t>
            </w:r>
          </w:p>
        </w:tc>
        <w:tc>
          <w:tcPr>
            <w:tcW w:type="dxa" w:w="1234"/>
          </w:tcPr>
          <w:p>
            <w:pPr>
              <w:jc w:val="center"/>
            </w:pPr>
            <w:r>
              <w:t>1450</w:t>
            </w:r>
          </w:p>
        </w:tc>
        <w:tc>
          <w:tcPr>
            <w:tcW w:type="dxa" w:w="1234"/>
          </w:tcPr>
          <w:p>
            <w:pPr>
              <w:jc w:val="center"/>
            </w:pPr>
            <w:r>
              <w:t>379</w:t>
            </w:r>
          </w:p>
        </w:tc>
        <w:tc>
          <w:tcPr>
            <w:tcW w:type="dxa" w:w="1234"/>
          </w:tcPr>
          <w:p>
            <w:pPr>
              <w:jc w:val="center"/>
            </w:pPr>
            <w:r>
              <w:t>26</w:t>
            </w:r>
          </w:p>
        </w:tc>
        <w:tc>
          <w:tcPr>
            <w:tcW w:type="dxa" w:w="1234"/>
          </w:tcPr>
          <w:p>
            <w:pPr>
              <w:jc w:val="center"/>
            </w:pPr>
            <w:r>
              <w:t>nan</w:t>
            </w:r>
          </w:p>
        </w:tc>
      </w:tr>
    </w:tbl>
    <w:p>
      <w:r>
        <w:t>(Note: Ensure careful consideration of irrelevant footnote: Banana peels were found in the lab waste bin during analysis.)</w:t>
      </w:r>
    </w:p>
    <w:p>
      <w:r>
        <w:t>Conclusion:</w:t>
      </w:r>
    </w:p>
    <w:p>
      <w:r>
        <w:t>The multi-faceted approach to analyzing these oil-based mixtures revealed their intricate chemical and physical attributes. Understanding these properties aids in the development of targeted cosmetic and pharmaceutical applications. The irrelevant discovery of stray dog hairs on the laboratory floor underscores the importance of maintaining a pristine lab environment to prevent contamination.</w:t>
      </w:r>
    </w:p>
    <w:p>
      <w:r>
        <w:t>Overall, this analysis provides a baseline for expanding future research endeavors, driving innovation across various industries.</w:t>
      </w:r>
    </w:p>
    <w:p>
      <w:r>
        <w:t>(Indistinct scribbles found in margins: "Remember to account for daylight savings in scheduling.")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