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2465</w:t>
      </w:r>
    </w:p>
    <w:p>
      <w:r>
        <w:t>Introduction</w:t>
      </w:r>
    </w:p>
    <w:p>
      <w:r>
        <w:t>This comprehensive report presents the analysis of various samples using different analytical instruments to assess their chemical and physical properties. Each test involved a distinct mixture of components tailored to explore specific characteristics. The primary goal was to elucidate the properties of the mixtures under investigation, which included oils blended with other materials such as glycerin, beeswax, cetyl alcohol, and vitamin E.</w:t>
      </w:r>
    </w:p>
    <w:p>
      <w:r>
        <w:t>Observations and Measurements</w:t>
      </w:r>
    </w:p>
    <w:p>
      <w:r>
        <w:t>Table 1: Conductivity and Temperature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Conductivity Meter CM-215</w:t>
            </w:r>
          </w:p>
        </w:tc>
        <w:tc>
          <w:tcPr>
            <w:tcW w:type="dxa" w:w="2160"/>
          </w:tcPr>
          <w:p>
            <w:pPr>
              <w:jc w:val="center"/>
            </w:pPr>
            <w:r>
              <w:t>Jojoba Oil, Beeswax, Glycerin</w:t>
            </w:r>
          </w:p>
        </w:tc>
        <w:tc>
          <w:tcPr>
            <w:tcW w:type="dxa" w:w="2160"/>
          </w:tcPr>
          <w:p>
            <w:pPr>
              <w:jc w:val="center"/>
            </w:pPr>
            <w:r>
              <w:t>1500</w:t>
            </w:r>
          </w:p>
        </w:tc>
        <w:tc>
          <w:tcPr>
            <w:tcW w:type="dxa" w:w="2160"/>
          </w:tcPr>
          <w:p>
            <w:pPr>
              <w:jc w:val="center"/>
            </w:pPr>
            <w:r>
              <w:t>uS/cm</w:t>
            </w:r>
          </w:p>
        </w:tc>
      </w:tr>
      <w:tr>
        <w:tc>
          <w:tcPr>
            <w:tcW w:type="dxa" w:w="2160"/>
          </w:tcPr>
          <w:p>
            <w:pPr>
              <w:jc w:val="center"/>
            </w:pPr>
            <w:r>
              <w:t>X-Ray Diffractometer XRD-6000</w:t>
            </w:r>
          </w:p>
        </w:tc>
        <w:tc>
          <w:tcPr>
            <w:tcW w:type="dxa" w:w="2160"/>
          </w:tcPr>
          <w:p>
            <w:pPr>
              <w:jc w:val="center"/>
            </w:pPr>
            <w:r>
              <w:t>Jojoba Oil, Cetyl Alcohol, Vitamin E</w:t>
            </w:r>
          </w:p>
        </w:tc>
        <w:tc>
          <w:tcPr>
            <w:tcW w:type="dxa" w:w="2160"/>
          </w:tcPr>
          <w:p>
            <w:pPr>
              <w:jc w:val="center"/>
            </w:pPr>
            <w:r>
              <w:t>90</w:t>
            </w:r>
          </w:p>
        </w:tc>
        <w:tc>
          <w:tcPr>
            <w:tcW w:type="dxa" w:w="2160"/>
          </w:tcPr>
          <w:p>
            <w:pPr>
              <w:jc w:val="center"/>
            </w:pPr>
            <w:r>
              <w:t>°C</w:t>
            </w:r>
          </w:p>
        </w:tc>
      </w:tr>
    </w:tbl>
    <w:p>
      <w:r>
        <w:t>In Table 1, the conductivity of jojoba oil mixed with beeswax and glycerin was recorded at 1500 uS/cm using the Conductivity Meter CM-215. Similarly, the temperature of the mixture of jojoba oil, cetyl alcohol, and vitamin E was evaluated to be 90 °C with the X-Ray Diffractometer XRD-6000, indicating potential structural interactions.</w:t>
      </w:r>
    </w:p>
    <w:p>
      <w:r>
        <w:t>Miscellaneous Observational Details</w:t>
      </w:r>
    </w:p>
    <w:p>
      <w:r>
        <w:t>Table 2: Chemical Composition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Result</w:t>
            </w:r>
          </w:p>
        </w:tc>
        <w:tc>
          <w:tcPr>
            <w:tcW w:type="dxa" w:w="2160"/>
          </w:tcPr>
          <w:p>
            <w:pPr>
              <w:jc w:val="center"/>
            </w:pPr>
            <w:r>
              <w:rPr>
                <w:b/>
              </w:rPr>
              <w:t>Units</w:t>
            </w:r>
          </w:p>
        </w:tc>
      </w:tr>
      <w:tr>
        <w:tc>
          <w:tcPr>
            <w:tcW w:type="dxa" w:w="2160"/>
          </w:tcPr>
          <w:p>
            <w:pPr>
              <w:jc w:val="center"/>
            </w:pPr>
            <w:r>
              <w:t>Gas Chromatograph GC-2010</w:t>
            </w:r>
          </w:p>
        </w:tc>
        <w:tc>
          <w:tcPr>
            <w:tcW w:type="dxa" w:w="2160"/>
          </w:tcPr>
          <w:p>
            <w:pPr>
              <w:jc w:val="center"/>
            </w:pPr>
            <w:r>
              <w:t>Coconut Oil, Gum, Vitamin E</w:t>
            </w:r>
          </w:p>
        </w:tc>
        <w:tc>
          <w:tcPr>
            <w:tcW w:type="dxa" w:w="2160"/>
          </w:tcPr>
          <w:p>
            <w:pPr>
              <w:jc w:val="center"/>
            </w:pPr>
            <w:r>
              <w:t>150</w:t>
            </w:r>
          </w:p>
        </w:tc>
        <w:tc>
          <w:tcPr>
            <w:tcW w:type="dxa" w:w="2160"/>
          </w:tcPr>
          <w:p>
            <w:pPr>
              <w:jc w:val="center"/>
            </w:pPr>
            <w:r>
              <w:t>ppm</w:t>
            </w:r>
          </w:p>
        </w:tc>
      </w:tr>
      <w:tr>
        <w:tc>
          <w:tcPr>
            <w:tcW w:type="dxa" w:w="2160"/>
          </w:tcPr>
          <w:p>
            <w:pPr>
              <w:jc w:val="center"/>
            </w:pPr>
            <w:r>
              <w:t>NMR Spectrometer NMR-500</w:t>
            </w:r>
          </w:p>
        </w:tc>
        <w:tc>
          <w:tcPr>
            <w:tcW w:type="dxa" w:w="2160"/>
          </w:tcPr>
          <w:p>
            <w:pPr>
              <w:jc w:val="center"/>
            </w:pPr>
            <w:r>
              <w:t>Coconut Oil, Glycerin</w:t>
            </w:r>
          </w:p>
        </w:tc>
        <w:tc>
          <w:tcPr>
            <w:tcW w:type="dxa" w:w="2160"/>
          </w:tcPr>
          <w:p>
            <w:pPr>
              <w:jc w:val="center"/>
            </w:pPr>
            <w:r>
              <w:t>12</w:t>
            </w:r>
          </w:p>
        </w:tc>
        <w:tc>
          <w:tcPr>
            <w:tcW w:type="dxa" w:w="2160"/>
          </w:tcPr>
          <w:p>
            <w:pPr>
              <w:jc w:val="center"/>
            </w:pPr>
            <w:r>
              <w:t>ppm</w:t>
            </w:r>
          </w:p>
        </w:tc>
      </w:tr>
    </w:tbl>
    <w:p>
      <w:r>
        <w:t>The Gas Chromatograph GC-2010 detected 150 ppm of a compound in the coconut oil, gum, and vitamin E mixture. In comparison, the NMR Spectrometer NMR-500 revealed a presence of 12 ppm in a coconut oil and glycerin mixture, suggesting distinct chemical environments.</w:t>
      </w:r>
    </w:p>
    <w:p>
      <w:r>
        <w:t>Random observation: An unmonitored variation in ambient humidity might have influenced the gas chromatography readings.</w:t>
      </w:r>
    </w:p>
    <w:p>
      <w:r>
        <w:t>Complex and Detailed Descriptions</w:t>
      </w:r>
    </w:p>
    <w:p>
      <w:r>
        <w:t>Thermocyclic Temperature Adjustments</w:t>
      </w:r>
    </w:p>
    <w:p>
      <w:r>
        <w:t>The thermocycler TC-5000 aided in the precise control of temperature conditions, maintaining a consistent 37 °C in a coconut oil, gum, and glycerin test. The stability underscores the high thermal endurance and potential reaction stability within this mixture.</w:t>
      </w:r>
    </w:p>
    <w:p>
      <w:r>
        <w:t>Viscosity Measurements</w:t>
      </w:r>
    </w:p>
    <w:p>
      <w:r>
        <w:t>Table 3 delineates the viscosity results observed using the Viscometer VS-300: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7623.07</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Glycerin</w:t>
            </w:r>
          </w:p>
        </w:tc>
        <w:tc>
          <w:tcPr>
            <w:tcW w:type="dxa" w:w="2160"/>
          </w:tcPr>
          <w:p>
            <w:pPr>
              <w:jc w:val="center"/>
            </w:pPr>
            <w:r>
              <w:t>7528.35</w:t>
            </w:r>
          </w:p>
        </w:tc>
        <w:tc>
          <w:tcPr>
            <w:tcW w:type="dxa" w:w="2160"/>
          </w:tcPr>
          <w:p>
            <w:pPr>
              <w:jc w:val="center"/>
            </w:pPr>
            <w:r>
              <w:t>cP</w:t>
            </w:r>
          </w:p>
        </w:tc>
      </w:tr>
    </w:tbl>
    <w:p>
      <w:r>
        <w:t>Almond oil showed a notable viscosity decrease when glycerin was introduced into the mixture, indicating the significant impact of additive interactions on fluid behavior.</w:t>
      </w:r>
    </w:p>
    <w:p>
      <w:r>
        <w:t>Irrelevant note: The laboratory lights were replaced during this period, which should have had no impact on measurements.</w:t>
      </w:r>
    </w:p>
    <w:p>
      <w:r>
        <w:t>Titration Insights</w:t>
      </w:r>
    </w:p>
    <w:p>
      <w:r>
        <w:t>Using the Titrator T-905, Jojoba Oil, in combination with beeswax and glycerin, exhibited a titration molarity of 0.005 M, reinforcing the sample’s acid-base equilibrium state.</w:t>
      </w:r>
    </w:p>
    <w:p>
      <w:r>
        <w:t>In unrelated terms, the solution's clarity was intriguingly reminiscent of marine bioluminescence, which is utterly unrelated yet vividly memorable.</w:t>
      </w:r>
    </w:p>
    <w:p>
      <w:r>
        <w:t>Conclusion</w:t>
      </w:r>
    </w:p>
    <w:p>
      <w:r>
        <w:t>This exhaustive report catalogues the diverse analytical procedures applied across numerous mixtures, showcasing a range of physical and chemical properties. While the diversity of instrumentation and tests yields broad insights, this formatting enhances complexity, daunting potential automation. The intentional intricacy within this document parallels the complex interactivity among the chemical constituents examined.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