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Ingredient Mixtures</w:t>
      </w:r>
    </w:p>
    <w:p>
      <w:r>
        <w:t>Report ID:275Date:[Insert Date]Prepared by:[Your Name]</w:t>
      </w:r>
    </w:p>
    <w:p>
      <w:r>
        <w:t>Introduction</w:t>
      </w:r>
    </w:p>
    <w:p>
      <w:r>
        <w:t>This laboratory report documents the analysis of several ingredient mixtures using various instrumentation methods. The mixtures included combinations of oils, alcohols, waxes, and other components commonly used in cosmetic formulations.</w:t>
      </w:r>
    </w:p>
    <w:p>
      <w:r>
        <w:t>Experimental Method</w:t>
      </w:r>
    </w:p>
    <w:p>
      <w:r>
        <w:t>Each mixture underwent distinct tests based on its composition, utilizing appropriate analytical equipment. The objectives were to assess the concentration, molecular characteristics, and other relevant parameters using apparatuses such as PCR machines, chromatographs, mass spectrometry, centrifugation, and titration.</w:t>
      </w:r>
    </w:p>
    <w:p>
      <w:r>
        <w:t>Materials and Equipment</w:t>
      </w:r>
    </w:p>
    <w:p>
      <w:r>
        <w:t>Mixtures Analyzed</w:t>
      </w:r>
    </w:p>
    <w:p>
      <w:r>
        <w:t>Results and Observations</w:t>
      </w:r>
    </w:p>
    <w:p>
      <w:r>
        <w:t>Sample Analysis</w:t>
      </w:r>
    </w:p>
    <w:p>
      <w:r>
        <w:t>Table 1: PCR and Ion Chromatography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Equipment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&amp; Glycerin</w:t>
            </w:r>
          </w:p>
        </w:tc>
        <w:tc>
          <w:tcPr>
            <w:tcW w:type="dxa" w:w="2160"/>
          </w:tcPr>
          <w:p>
            <w:pPr>
              <w:jc w:val="center"/>
            </w:pPr>
            <w:r>
              <w:t>PCR-96</w:t>
            </w:r>
          </w:p>
        </w:tc>
        <w:tc>
          <w:tcPr>
            <w:tcW w:type="dxa" w:w="2160"/>
          </w:tcPr>
          <w:p>
            <w:pPr>
              <w:jc w:val="center"/>
            </w:pPr>
            <w:r>
              <w:t>25.0</w:t>
            </w:r>
          </w:p>
        </w:tc>
        <w:tc>
          <w:tcPr>
            <w:tcW w:type="dxa" w:w="2160"/>
          </w:tcPr>
          <w:p>
            <w:pPr>
              <w:jc w:val="center"/>
            </w:pPr>
            <w:r>
              <w:t>Ct</w:t>
            </w:r>
          </w:p>
        </w:tc>
      </w:tr>
      <w:tr>
        <w:tc>
          <w:tcPr>
            <w:tcW w:type="dxa" w:w="2160"/>
          </w:tcPr>
          <w:p>
            <w:pPr>
              <w:jc w:val="center"/>
            </w:pPr>
            <w:r>
              <w:t>Jojoba Oil &amp; Beeswax</w:t>
            </w:r>
          </w:p>
        </w:tc>
        <w:tc>
          <w:tcPr>
            <w:tcW w:type="dxa" w:w="2160"/>
          </w:tcPr>
          <w:p>
            <w:pPr>
              <w:jc w:val="center"/>
            </w:pPr>
            <w:r>
              <w:t>IC-2100</w:t>
            </w:r>
          </w:p>
        </w:tc>
        <w:tc>
          <w:tcPr>
            <w:tcW w:type="dxa" w:w="2160"/>
          </w:tcPr>
          <w:p>
            <w:pPr>
              <w:jc w:val="center"/>
            </w:pPr>
            <w:r>
              <w:t>15.75</w:t>
            </w:r>
          </w:p>
        </w:tc>
        <w:tc>
          <w:tcPr>
            <w:tcW w:type="dxa" w:w="2160"/>
          </w:tcPr>
          <w:p>
            <w:pPr>
              <w:jc w:val="center"/>
            </w:pPr>
            <w:r>
              <w:t>mM</w:t>
            </w:r>
          </w:p>
        </w:tc>
      </w:tr>
      <w:tr>
        <w:tc>
          <w:tcPr>
            <w:tcW w:type="dxa" w:w="2160"/>
          </w:tcPr>
          <w:p>
            <w:pPr>
              <w:jc w:val="center"/>
            </w:pPr>
            <w:r>
              <w:t>Note: While typically unrelated to mass quantification, irrelevant interesting factoids may include the boiling point of water, approximately 100°C.</w:t>
            </w:r>
          </w:p>
        </w:tc>
        <w:tc>
          <w:tcPr>
            <w:tcW w:type="dxa" w:w="2160"/>
          </w:tcPr>
          <w:p>
            <w:pPr>
              <w:jc w:val="center"/>
            </w:pPr>
            <w:r>
              <w:t>nan</w:t>
            </w:r>
          </w:p>
        </w:tc>
        <w:tc>
          <w:tcPr>
            <w:tcW w:type="dxa" w:w="2160"/>
          </w:tcPr>
          <w:p>
            <w:pPr>
              <w:jc w:val="center"/>
            </w:pPr>
            <w:r>
              <w:t>nan</w:t>
            </w:r>
          </w:p>
        </w:tc>
        <w:tc>
          <w:tcPr>
            <w:tcW w:type="dxa" w:w="2160"/>
          </w:tcPr>
          <w:p>
            <w:pPr>
              <w:jc w:val="center"/>
            </w:pPr>
            <w:r>
              <w:t>nan</w:t>
            </w:r>
          </w:p>
        </w:tc>
      </w:tr>
    </w:tbl>
    <w:p>
      <w:r>
        <w:t>Table 2: Chromatography and Mass Spectrometry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Equipment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Cetyl Alcohol &amp; Glycerin</w:t>
            </w:r>
          </w:p>
        </w:tc>
        <w:tc>
          <w:tcPr>
            <w:tcW w:type="dxa" w:w="2160"/>
          </w:tcPr>
          <w:p>
            <w:pPr>
              <w:jc w:val="center"/>
            </w:pPr>
            <w:r>
              <w:t>LC-400</w:t>
            </w:r>
          </w:p>
        </w:tc>
        <w:tc>
          <w:tcPr>
            <w:tcW w:type="dxa" w:w="2160"/>
          </w:tcPr>
          <w:p>
            <w:pPr>
              <w:jc w:val="center"/>
            </w:pPr>
            <w:r>
              <w:t>320.0</w:t>
            </w:r>
          </w:p>
        </w:tc>
        <w:tc>
          <w:tcPr>
            <w:tcW w:type="dxa" w:w="2160"/>
          </w:tcPr>
          <w:p>
            <w:pPr>
              <w:jc w:val="center"/>
            </w:pPr>
            <w:r>
              <w:t>ug/mL</w:t>
            </w:r>
          </w:p>
        </w:tc>
      </w:tr>
      <w:tr>
        <w:tc>
          <w:tcPr>
            <w:tcW w:type="dxa" w:w="2160"/>
          </w:tcPr>
          <w:p>
            <w:pPr>
              <w:jc w:val="center"/>
            </w:pPr>
            <w:r>
              <w:t>Coconut Oil, Beeswax &amp; Glycerin</w:t>
            </w:r>
          </w:p>
        </w:tc>
        <w:tc>
          <w:tcPr>
            <w:tcW w:type="dxa" w:w="2160"/>
          </w:tcPr>
          <w:p>
            <w:pPr>
              <w:jc w:val="center"/>
            </w:pPr>
            <w:r>
              <w:t>MS-20</w:t>
            </w:r>
          </w:p>
        </w:tc>
        <w:tc>
          <w:tcPr>
            <w:tcW w:type="dxa" w:w="2160"/>
          </w:tcPr>
          <w:p>
            <w:pPr>
              <w:jc w:val="center"/>
            </w:pPr>
            <w:r>
              <w:t>1850.0</w:t>
            </w:r>
          </w:p>
        </w:tc>
        <w:tc>
          <w:tcPr>
            <w:tcW w:type="dxa" w:w="2160"/>
          </w:tcPr>
          <w:p>
            <w:pPr>
              <w:jc w:val="center"/>
            </w:pPr>
            <w:r>
              <w:t>m/z</w:t>
            </w:r>
          </w:p>
        </w:tc>
      </w:tr>
      <w:tr>
        <w:tc>
          <w:tcPr>
            <w:tcW w:type="dxa" w:w="2160"/>
          </w:tcPr>
          <w:p>
            <w:pPr>
              <w:jc w:val="center"/>
            </w:pPr>
            <w:r>
              <w:t>Observation: Unexpected 'pokemon' digital noise during mass analysis, likely unrelated.</w:t>
            </w:r>
          </w:p>
        </w:tc>
        <w:tc>
          <w:tcPr>
            <w:tcW w:type="dxa" w:w="2160"/>
          </w:tcPr>
          <w:p>
            <w:pPr>
              <w:jc w:val="center"/>
            </w:pPr>
            <w:r>
              <w:t>nan</w:t>
            </w:r>
          </w:p>
        </w:tc>
        <w:tc>
          <w:tcPr>
            <w:tcW w:type="dxa" w:w="2160"/>
          </w:tcPr>
          <w:p>
            <w:pPr>
              <w:jc w:val="center"/>
            </w:pPr>
            <w:r>
              <w:t>nan</w:t>
            </w:r>
          </w:p>
        </w:tc>
        <w:tc>
          <w:tcPr>
            <w:tcW w:type="dxa" w:w="2160"/>
          </w:tcPr>
          <w:p>
            <w:pPr>
              <w:jc w:val="center"/>
            </w:pPr>
            <w:r>
              <w:t>nan</w:t>
            </w:r>
          </w:p>
        </w:tc>
      </w:tr>
    </w:tbl>
    <w:p>
      <w:r>
        <w:t>Detailed Observations</w:t>
      </w:r>
    </w:p>
    <w:p>
      <w:r>
        <w:t>Table 3: Centrifugation and Titration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Equipment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&amp; Cetyl Alcohol</w:t>
            </w:r>
          </w:p>
        </w:tc>
        <w:tc>
          <w:tcPr>
            <w:tcW w:type="dxa" w:w="2160"/>
          </w:tcPr>
          <w:p>
            <w:pPr>
              <w:jc w:val="center"/>
            </w:pPr>
            <w:r>
              <w:t>X100</w:t>
            </w:r>
          </w:p>
        </w:tc>
        <w:tc>
          <w:tcPr>
            <w:tcW w:type="dxa" w:w="2160"/>
          </w:tcPr>
          <w:p>
            <w:pPr>
              <w:jc w:val="center"/>
            </w:pPr>
            <w:r>
              <w:t>12000.0</w:t>
            </w:r>
          </w:p>
        </w:tc>
        <w:tc>
          <w:tcPr>
            <w:tcW w:type="dxa" w:w="2160"/>
          </w:tcPr>
          <w:p>
            <w:pPr>
              <w:jc w:val="center"/>
            </w:pPr>
            <w:r>
              <w:t>RPM</w:t>
            </w:r>
          </w:p>
        </w:tc>
      </w:tr>
      <w:tr>
        <w:tc>
          <w:tcPr>
            <w:tcW w:type="dxa" w:w="2160"/>
          </w:tcPr>
          <w:p>
            <w:pPr>
              <w:jc w:val="center"/>
            </w:pPr>
            <w:r>
              <w:t>Almond Oil &amp; Beeswax</w:t>
            </w:r>
          </w:p>
        </w:tc>
        <w:tc>
          <w:tcPr>
            <w:tcW w:type="dxa" w:w="2160"/>
          </w:tcPr>
          <w:p>
            <w:pPr>
              <w:jc w:val="center"/>
            </w:pPr>
            <w:r>
              <w:t>T-905</w:t>
            </w:r>
          </w:p>
        </w:tc>
        <w:tc>
          <w:tcPr>
            <w:tcW w:type="dxa" w:w="2160"/>
          </w:tcPr>
          <w:p>
            <w:pPr>
              <w:jc w:val="center"/>
            </w:pPr>
            <w:r>
              <w:t>7.5</w:t>
            </w:r>
          </w:p>
        </w:tc>
        <w:tc>
          <w:tcPr>
            <w:tcW w:type="dxa" w:w="2160"/>
          </w:tcPr>
          <w:p>
            <w:pPr>
              <w:jc w:val="center"/>
            </w:pPr>
            <w:r>
              <w:t>M</w:t>
            </w:r>
          </w:p>
        </w:tc>
      </w:tr>
      <w:tr>
        <w:tc>
          <w:tcPr>
            <w:tcW w:type="dxa" w:w="2160"/>
          </w:tcPr>
          <w:p>
            <w:pPr>
              <w:jc w:val="center"/>
            </w:pPr>
            <w:r>
              <w:t>Trivia: The velocity of an unladen swallow was not measured.</w:t>
            </w:r>
          </w:p>
        </w:tc>
        <w:tc>
          <w:tcPr>
            <w:tcW w:type="dxa" w:w="2160"/>
          </w:tcPr>
          <w:p>
            <w:pPr>
              <w:jc w:val="center"/>
            </w:pPr>
            <w:r>
              <w:t>nan</w:t>
            </w:r>
          </w:p>
        </w:tc>
        <w:tc>
          <w:tcPr>
            <w:tcW w:type="dxa" w:w="2160"/>
          </w:tcPr>
          <w:p>
            <w:pPr>
              <w:jc w:val="center"/>
            </w:pPr>
            <w:r>
              <w:t>nan</w:t>
            </w:r>
          </w:p>
        </w:tc>
        <w:tc>
          <w:tcPr>
            <w:tcW w:type="dxa" w:w="2160"/>
          </w:tcPr>
          <w:p>
            <w:pPr>
              <w:jc w:val="center"/>
            </w:pPr>
            <w:r>
              <w:t>nan</w:t>
            </w:r>
          </w:p>
        </w:tc>
      </w:tr>
    </w:tbl>
    <w:p>
      <w:r>
        <w:t>Additional Observations</w:t>
      </w:r>
    </w:p>
    <w:p>
      <w:r>
        <w:t>Discussion</w:t>
      </w:r>
    </w:p>
    <w:p>
      <w:r>
        <w:t>The analysis of these mixtures through various advanced scientific methodologies offers insight into their chemical properties. The results display variability inherent in the testing process and highlight each mixture's distinct characteristics. Factors such as component miscibility and cross-reactivity significantly impact the observed measurements.</w:t>
      </w:r>
    </w:p>
    <w:p>
      <w:r>
        <w:t>Conclusion</w:t>
      </w:r>
    </w:p>
    <w:p>
      <w:r>
        <w:t>The techniques used confirm the respective mixture properties and emphasize the critical role of precision instruments in cosmetic formulation analysis. Further research with an emphasis on molecular hybridization and interaction studies is recommended.</w:t>
      </w:r>
    </w:p>
    <w:p>
      <w:r>
        <w:t>References</w:t>
      </w:r>
    </w:p>
    <w:p>
      <w:r>
        <w:t>Supplementary Note:Additional, random calculations unrelated to any significant outcomes in this analysis included derivations of π and Fibonacci sequence.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