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339</w:t>
      </w:r>
    </w:p>
    <w:p>
      <w:r>
        <w:t>Overview</w:t>
      </w:r>
    </w:p>
    <w:p>
      <w:r>
        <w:t>This report presents the findings from a series of experiments conducted using various instruments to analyze different oil-based samples. Each sample consists of specific ingredients tested together to determine particular properties. The experiments encompass observations, measurements, and results from sophisticated equipment, revealing intricate characteristics of these mixtures.</w:t>
      </w:r>
    </w:p>
    <w:p>
      <w:r>
        <w:t>Experiment 1: Ion Chromatography Analysis</w:t>
      </w:r>
    </w:p>
    <w:p>
      <w:r>
        <w:t>Equipment Used:</w:t>
      </w:r>
    </w:p>
    <w:p>
      <w:r>
        <w:t>Sample Composition:</w:t>
      </w:r>
    </w:p>
    <w:p>
      <w:r>
        <w:t>Objective:Determine the concentration of ions within the sample.</w:t>
      </w:r>
    </w:p>
    <w:p>
      <w:r>
        <w:t>Procedure Observation:The coconut oil was homogeneously mixed with vitamin E before injection into the chromatograph. The detection of ions was critical to understanding the nutrient composition of the sample.</w:t>
      </w:r>
    </w:p>
    <w:p>
      <w:r>
        <w:t>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Parameter</w:t>
            </w:r>
          </w:p>
        </w:tc>
        <w:tc>
          <w:tcPr>
            <w:tcW w:type="dxa" w:w="2880"/>
          </w:tcPr>
          <w:p>
            <w:pPr>
              <w:jc w:val="center"/>
            </w:pPr>
            <w:r>
              <w:rPr>
                <w:b/>
              </w:rPr>
              <w:t>Value</w:t>
            </w:r>
          </w:p>
        </w:tc>
        <w:tc>
          <w:tcPr>
            <w:tcW w:type="dxa" w:w="2880"/>
          </w:tcPr>
          <w:p>
            <w:pPr>
              <w:jc w:val="center"/>
            </w:pPr>
            <w:r>
              <w:rPr>
                <w:b/>
              </w:rPr>
              <w:t>Unit</w:t>
            </w:r>
          </w:p>
        </w:tc>
      </w:tr>
      <w:tr>
        <w:tc>
          <w:tcPr>
            <w:tcW w:type="dxa" w:w="2880"/>
          </w:tcPr>
          <w:p>
            <w:pPr>
              <w:jc w:val="center"/>
            </w:pPr>
            <w:r>
              <w:t>Ion Concentration</w:t>
            </w:r>
          </w:p>
        </w:tc>
        <w:tc>
          <w:tcPr>
            <w:tcW w:type="dxa" w:w="2880"/>
          </w:tcPr>
          <w:p>
            <w:pPr>
              <w:jc w:val="center"/>
            </w:pPr>
            <w:r>
              <w:t>25.6</w:t>
            </w:r>
          </w:p>
        </w:tc>
        <w:tc>
          <w:tcPr>
            <w:tcW w:type="dxa" w:w="2880"/>
          </w:tcPr>
          <w:p>
            <w:pPr>
              <w:jc w:val="center"/>
            </w:pPr>
            <w:r>
              <w:t>mM</w:t>
            </w:r>
          </w:p>
        </w:tc>
      </w:tr>
    </w:tbl>
    <w:p>
      <w:r>
        <w:t>Note: The blend of coconut oil with vitamin E appears stable under the analytical conditions, leading to reliable concentration determinations.</w:t>
      </w:r>
    </w:p>
    <w:p>
      <w:r>
        <w:t>Experiment 2: Thermal Stability Test</w:t>
      </w:r>
    </w:p>
    <w:p>
      <w:r>
        <w:t>Equipment Used:</w:t>
      </w:r>
    </w:p>
    <w:p>
      <w:r>
        <w:t>Sample Composition:</w:t>
      </w:r>
    </w:p>
    <w:p>
      <w:r>
        <w:t>Objective:Assess thermal stability through cyclical temperature variations.</w:t>
      </w:r>
    </w:p>
    <w:p>
      <w:r>
        <w:t>Description:The thermo-process aimed at simulating environmental temperature fluctuations. Almond oil serves as a medium for homogeneously mixing cetyl alcohol and glycerin.</w:t>
      </w:r>
    </w:p>
    <w:p>
      <w:r>
        <w:t>Recorded Measurement:</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Parameter</w:t>
            </w:r>
          </w:p>
        </w:tc>
        <w:tc>
          <w:tcPr>
            <w:tcW w:type="dxa" w:w="2880"/>
          </w:tcPr>
          <w:p>
            <w:pPr>
              <w:jc w:val="center"/>
            </w:pPr>
            <w:r>
              <w:rPr>
                <w:b/>
              </w:rPr>
              <w:t>Value</w:t>
            </w:r>
          </w:p>
        </w:tc>
        <w:tc>
          <w:tcPr>
            <w:tcW w:type="dxa" w:w="2880"/>
          </w:tcPr>
          <w:p>
            <w:pPr>
              <w:jc w:val="center"/>
            </w:pPr>
            <w:r>
              <w:rPr>
                <w:b/>
              </w:rPr>
              <w:t>Unit</w:t>
            </w:r>
          </w:p>
        </w:tc>
      </w:tr>
      <w:tr>
        <w:tc>
          <w:tcPr>
            <w:tcW w:type="dxa" w:w="2880"/>
          </w:tcPr>
          <w:p>
            <w:pPr>
              <w:jc w:val="center"/>
            </w:pPr>
            <w:r>
              <w:t>Constant Temperature</w:t>
            </w:r>
          </w:p>
        </w:tc>
        <w:tc>
          <w:tcPr>
            <w:tcW w:type="dxa" w:w="2880"/>
          </w:tcPr>
          <w:p>
            <w:pPr>
              <w:jc w:val="center"/>
            </w:pPr>
            <w:r>
              <w:t>45</w:t>
            </w:r>
          </w:p>
        </w:tc>
        <w:tc>
          <w:tcPr>
            <w:tcW w:type="dxa" w:w="2880"/>
          </w:tcPr>
          <w:p>
            <w:pPr>
              <w:jc w:val="center"/>
            </w:pPr>
            <w:r>
              <w:t>°C</w:t>
            </w:r>
          </w:p>
        </w:tc>
      </w:tr>
    </w:tbl>
    <w:p>
      <w:r>
        <w:t>Observation: This temperature is pivotal as the melting point for the cetyl compound ensures the integrity of the glycerin’s molecular structure.</w:t>
      </w:r>
    </w:p>
    <w:p>
      <w:r>
        <w:t>Experiment 3: Centrifugation for Phase Separation</w:t>
      </w:r>
    </w:p>
    <w:p>
      <w:r>
        <w:t>Equipment Used:</w:t>
      </w:r>
    </w:p>
    <w:p>
      <w:r>
        <w:t>Sample Composition:</w:t>
      </w:r>
    </w:p>
    <w:p>
      <w:r>
        <w:t>Purpose:Obtain phase separation and characterize the material densities.</w:t>
      </w:r>
    </w:p>
    <w:p>
      <w:r>
        <w:t>Measurement Results: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Parameter</w:t>
            </w:r>
          </w:p>
        </w:tc>
        <w:tc>
          <w:tcPr>
            <w:tcW w:type="dxa" w:w="2880"/>
          </w:tcPr>
          <w:p>
            <w:pPr>
              <w:jc w:val="center"/>
            </w:pPr>
            <w:r>
              <w:rPr>
                <w:b/>
              </w:rPr>
              <w:t>Value</w:t>
            </w:r>
          </w:p>
        </w:tc>
        <w:tc>
          <w:tcPr>
            <w:tcW w:type="dxa" w:w="2880"/>
          </w:tcPr>
          <w:p>
            <w:pPr>
              <w:jc w:val="center"/>
            </w:pPr>
            <w:r>
              <w:rPr>
                <w:b/>
              </w:rPr>
              <w:t>Unit</w:t>
            </w:r>
          </w:p>
        </w:tc>
      </w:tr>
      <w:tr>
        <w:tc>
          <w:tcPr>
            <w:tcW w:type="dxa" w:w="2880"/>
          </w:tcPr>
          <w:p>
            <w:pPr>
              <w:jc w:val="center"/>
            </w:pPr>
            <w:r>
              <w:t>Speed</w:t>
            </w:r>
          </w:p>
        </w:tc>
        <w:tc>
          <w:tcPr>
            <w:tcW w:type="dxa" w:w="2880"/>
          </w:tcPr>
          <w:p>
            <w:pPr>
              <w:jc w:val="center"/>
            </w:pPr>
            <w:r>
              <w:t>12000</w:t>
            </w:r>
          </w:p>
        </w:tc>
        <w:tc>
          <w:tcPr>
            <w:tcW w:type="dxa" w:w="2880"/>
          </w:tcPr>
          <w:p>
            <w:pPr>
              <w:jc w:val="center"/>
            </w:pPr>
            <w:r>
              <w:t>RPM</w:t>
            </w:r>
          </w:p>
        </w:tc>
      </w:tr>
    </w:tbl>
    <w:p>
      <w:r>
        <w:t>Inconsequential Data: The high centrifugal force was essential, yet transient vibrations were observed, suggesting potential procedural artefacts.</w:t>
      </w:r>
    </w:p>
    <w:p>
      <w:r>
        <w:t>Experiment 4: Viscosity Measurement via Rheometry</w:t>
      </w:r>
    </w:p>
    <w:p>
      <w:r>
        <w:t>Equipment Used:</w:t>
      </w:r>
    </w:p>
    <w:p>
      <w:r>
        <w:t>Sample Composition:</w:t>
      </w:r>
    </w:p>
    <w:p>
      <w:r>
        <w:t>Objective:Determine the viscous behavior under shear.</w:t>
      </w:r>
    </w:p>
    <w:p>
      <w:r>
        <w:t>Analysis:The presence of gum likely increased viscosity in the almond oil-glycerin matrix.</w:t>
      </w:r>
    </w:p>
    <w:p>
      <w:r>
        <w:t>Results Summary: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Parameter</w:t>
            </w:r>
          </w:p>
        </w:tc>
        <w:tc>
          <w:tcPr>
            <w:tcW w:type="dxa" w:w="2880"/>
          </w:tcPr>
          <w:p>
            <w:pPr>
              <w:jc w:val="center"/>
            </w:pPr>
            <w:r>
              <w:rPr>
                <w:b/>
              </w:rPr>
              <w:t>Measurement</w:t>
            </w:r>
          </w:p>
        </w:tc>
        <w:tc>
          <w:tcPr>
            <w:tcW w:type="dxa" w:w="2880"/>
          </w:tcPr>
          <w:p>
            <w:pPr>
              <w:jc w:val="center"/>
            </w:pPr>
            <w:r>
              <w:rPr>
                <w:b/>
              </w:rPr>
              <w:t>Unit</w:t>
            </w:r>
          </w:p>
        </w:tc>
      </w:tr>
      <w:tr>
        <w:tc>
          <w:tcPr>
            <w:tcW w:type="dxa" w:w="2880"/>
          </w:tcPr>
          <w:p>
            <w:pPr>
              <w:jc w:val="center"/>
            </w:pPr>
            <w:r>
              <w:t>Viscosity</w:t>
            </w:r>
          </w:p>
        </w:tc>
        <w:tc>
          <w:tcPr>
            <w:tcW w:type="dxa" w:w="2880"/>
          </w:tcPr>
          <w:p>
            <w:pPr>
              <w:jc w:val="center"/>
            </w:pPr>
            <w:r>
              <w:t>72.3</w:t>
            </w:r>
          </w:p>
        </w:tc>
        <w:tc>
          <w:tcPr>
            <w:tcW w:type="dxa" w:w="2880"/>
          </w:tcPr>
          <w:p>
            <w:pPr>
              <w:jc w:val="center"/>
            </w:pPr>
            <w:r>
              <w:t>Pa-s</w:t>
            </w:r>
          </w:p>
        </w:tc>
      </w:tr>
    </w:tbl>
    <w:p>
      <w:r>
        <w:t>Complex Interaction: The rheological properties indicated enhanced viscoelasticity due to chemical interactions between gum and the glycerine medium.</w:t>
      </w:r>
    </w:p>
    <w:p>
      <w:r>
        <w:t>Experiment 5: PCR Cycling Time</w:t>
      </w:r>
    </w:p>
    <w:p>
      <w:r>
        <w:t>Equipment:</w:t>
      </w:r>
    </w:p>
    <w:p>
      <w:r>
        <w:t>Sample Composition:</w:t>
      </w:r>
    </w:p>
    <w:p>
      <w:r>
        <w:t>Goal:Measure the cycle threshold for DNA amplification within oil matrices.</w:t>
      </w:r>
    </w:p>
    <w:p>
      <w:r>
        <w:t>Procedure Update:Due to potential inhibitors, careful preparation was essential.</w:t>
      </w:r>
    </w:p>
    <w:p>
      <w:r>
        <w:t>Outcome Data:</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Parameter</w:t>
            </w:r>
          </w:p>
        </w:tc>
        <w:tc>
          <w:tcPr>
            <w:tcW w:type="dxa" w:w="2880"/>
          </w:tcPr>
          <w:p>
            <w:pPr>
              <w:jc w:val="center"/>
            </w:pPr>
            <w:r>
              <w:rPr>
                <w:b/>
              </w:rPr>
              <w:t>Value</w:t>
            </w:r>
          </w:p>
        </w:tc>
        <w:tc>
          <w:tcPr>
            <w:tcW w:type="dxa" w:w="2880"/>
          </w:tcPr>
          <w:p>
            <w:pPr>
              <w:jc w:val="center"/>
            </w:pPr>
            <w:r>
              <w:rPr>
                <w:b/>
              </w:rPr>
              <w:t>Unit</w:t>
            </w:r>
          </w:p>
        </w:tc>
      </w:tr>
      <w:tr>
        <w:tc>
          <w:tcPr>
            <w:tcW w:type="dxa" w:w="2880"/>
          </w:tcPr>
          <w:p>
            <w:pPr>
              <w:jc w:val="center"/>
            </w:pPr>
            <w:r>
              <w:t>Cycle Threshold (Ct)</w:t>
            </w:r>
          </w:p>
        </w:tc>
        <w:tc>
          <w:tcPr>
            <w:tcW w:type="dxa" w:w="2880"/>
          </w:tcPr>
          <w:p>
            <w:pPr>
              <w:jc w:val="center"/>
            </w:pPr>
            <w:r>
              <w:t>18</w:t>
            </w:r>
          </w:p>
        </w:tc>
        <w:tc>
          <w:tcPr>
            <w:tcW w:type="dxa" w:w="2880"/>
          </w:tcPr>
          <w:p>
            <w:pPr>
              <w:jc w:val="center"/>
            </w:pPr>
            <w:r>
              <w:t>Ct</w:t>
            </w:r>
          </w:p>
        </w:tc>
      </w:tr>
    </w:tbl>
    <w:p>
      <w:r>
        <w:t>Extraneous Observation: The homogeneous nature of the oil exhibited minimal interference, reflecting in a reliably low Ct value.</w:t>
      </w:r>
    </w:p>
    <w:p>
      <w:r>
        <w:t>Experiment 6: Viscosity Testing via Viscometry</w:t>
      </w:r>
    </w:p>
    <w:p>
      <w:r>
        <w:t>Equipment:</w:t>
      </w:r>
    </w:p>
    <w:p>
      <w:r>
        <w:t>Sample Composition:</w:t>
      </w:r>
    </w:p>
    <w:p>
      <w:r>
        <w:t>Focus:Quantifying absolute viscosity under controlled conditions.</w:t>
      </w:r>
    </w:p>
    <w:p>
      <w:r>
        <w:t>Measurements Reported:</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Trial</w:t>
            </w:r>
          </w:p>
        </w:tc>
        <w:tc>
          <w:tcPr>
            <w:tcW w:type="dxa" w:w="2880"/>
          </w:tcPr>
          <w:p>
            <w:pPr>
              <w:jc w:val="center"/>
            </w:pPr>
            <w:r>
              <w:rPr>
                <w:b/>
              </w:rPr>
              <w:t>Viscosity</w:t>
            </w:r>
          </w:p>
        </w:tc>
        <w:tc>
          <w:tcPr>
            <w:tcW w:type="dxa" w:w="2880"/>
          </w:tcPr>
          <w:p>
            <w:pPr>
              <w:jc w:val="center"/>
            </w:pPr>
            <w:r>
              <w:rPr>
                <w:b/>
              </w:rPr>
              <w:t>Unit</w:t>
            </w:r>
          </w:p>
        </w:tc>
      </w:tr>
      <w:tr>
        <w:tc>
          <w:tcPr>
            <w:tcW w:type="dxa" w:w="2880"/>
          </w:tcPr>
          <w:p>
            <w:pPr>
              <w:jc w:val="center"/>
            </w:pPr>
            <w:r>
              <w:t>1</w:t>
            </w:r>
          </w:p>
        </w:tc>
        <w:tc>
          <w:tcPr>
            <w:tcW w:type="dxa" w:w="2880"/>
          </w:tcPr>
          <w:p>
            <w:pPr>
              <w:jc w:val="center"/>
            </w:pPr>
            <w:r>
              <w:t>4935.95</w:t>
            </w:r>
          </w:p>
        </w:tc>
        <w:tc>
          <w:tcPr>
            <w:tcW w:type="dxa" w:w="2880"/>
          </w:tcPr>
          <w:p>
            <w:pPr>
              <w:jc w:val="center"/>
            </w:pPr>
            <w:r>
              <w:t>cP</w:t>
            </w:r>
          </w:p>
        </w:tc>
      </w:tr>
      <w:tr>
        <w:tc>
          <w:tcPr>
            <w:tcW w:type="dxa" w:w="2880"/>
          </w:tcPr>
          <w:p>
            <w:pPr>
              <w:jc w:val="center"/>
            </w:pPr>
            <w:r>
              <w:t>2</w:t>
            </w:r>
          </w:p>
        </w:tc>
        <w:tc>
          <w:tcPr>
            <w:tcW w:type="dxa" w:w="2880"/>
          </w:tcPr>
          <w:p>
            <w:pPr>
              <w:jc w:val="center"/>
            </w:pPr>
            <w:r>
              <w:t>5018.32</w:t>
            </w:r>
          </w:p>
        </w:tc>
        <w:tc>
          <w:tcPr>
            <w:tcW w:type="dxa" w:w="2880"/>
          </w:tcPr>
          <w:p>
            <w:pPr>
              <w:jc w:val="center"/>
            </w:pPr>
            <w:r>
              <w:t>cP</w:t>
            </w:r>
          </w:p>
        </w:tc>
      </w:tr>
    </w:tbl>
    <w:p>
      <w:r>
        <w:t>Technical Annotation: The readings suggest minor fluctuations in viscosity, possibly due to temperature variation in the lab or air bubble entrapment.</w:t>
      </w:r>
    </w:p>
    <w:p>
      <w:r>
        <w:t>This comprehensive analysis of various oil-based mixtures utilizes multiple advanced techniques and equipment to yield invaluable data for further product development and analytical pursuits. The data herein adheres strictly to measurement precision and details crucial for replicability and advancement.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