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363</w:t>
      </w:r>
    </w:p>
    <w:p>
      <w:r>
        <w:t>Introduction:In this comprehensive report, we describe the results of a series of analytical tests conducted on various oil mixtures using multiple advanced instruments. The purpose of the study was to analyze the structural and chemical properties of different ingredients combined in three distinct samples, using various spectrometric and chromatographic techniques.</w:t>
      </w:r>
    </w:p>
    <w:p>
      <w:r>
        <w:t>Methods and Materials:</w:t>
      </w:r>
    </w:p>
    <w:p>
      <w:r>
        <w:t>Instruments Used:</w:t>
      </w:r>
    </w:p>
    <w:p>
      <w:r>
        <w:t>Test Samples:</w:t>
      </w:r>
    </w:p>
    <w:p>
      <w:r>
        <w:t>Procedures:</w:t>
      </w:r>
    </w:p>
    <w:p>
      <w:r>
        <w:t>Spectrophotometry and Absorbance:The UV-Vis Spectrophotometer UV-2600 was used to determine the absorbance levels of Sample A, measuring interaction with ultraviolet and visible light.</w:t>
      </w:r>
    </w:p>
    <w:p>
      <w:r>
        <w:t>Spectrometer Measurements:With Spectrometer Alpha-300, the spectral characteristics of Sample A were analyzed at specific wavelengths to identify molecular transitions.</w:t>
      </w:r>
    </w:p>
    <w:p>
      <w:r>
        <w:t>Lubrication Ability Test:Using the Four Ball FB-1000, Sample B's wear resistance and lubrication were assessed over the tested surface.</w:t>
      </w:r>
    </w:p>
    <w:p>
      <w:r>
        <w:t>Fourier-Transform Infrared Spectroscopy:FTIR-8400 was used to examine Sample B, calculating transmittance and absorption by capturing infrared spectra.</w:t>
      </w:r>
    </w:p>
    <w:p>
      <w:r>
        <w:t>Mass Spectrometry Analysis:Sample C components were ionized and their molecular masses determined with the Mass Spectrometer MS-20.</w:t>
      </w:r>
    </w:p>
    <w:p>
      <w:r>
        <w:t>Polymerase Chain Reaction Testing:PCR techniques with PCR-96 were utilized for detailed genetic analysis of Sample A.</w:t>
      </w:r>
    </w:p>
    <w:p>
      <w:r>
        <w:t>High-Performance Liquid Chromatography:Sample C was subjected to HPLC to separate, quantify, and purify its constituents.</w:t>
      </w:r>
    </w:p>
    <w:p>
      <w:r>
        <w:t>Results and Discussion</w:t>
      </w:r>
    </w:p>
    <w:p>
      <w:r>
        <w:t>1. Absorbance and Wavelength Analysis:</w:t>
      </w:r>
    </w:p>
    <w:p>
      <w:r>
        <w:t>| Sample | Instrument | Result | Unit |</w:t>
      </w:r>
    </w:p>
    <w:p>
      <w:r>
        <w:t>|--------|------------|--------|------|</w:t>
      </w:r>
    </w:p>
    <w:p>
      <w:r>
        <w:t>| A      | UV-2600    | 2.5    | Abs  |</w:t>
      </w:r>
    </w:p>
    <w:p>
      <w:r>
        <w:t>| A      | Alpha-300  | 250    | nm   |</w:t>
      </w:r>
    </w:p>
    <w:p>
      <w:r>
        <w:t>Discussing closely aligned absorbance values indicates uniform interaction within Sample A, reflecting potential synergies among constituents. Interestingly, peak wavelength captured by Alpha-300 signifies similar energy states between compounds.</w:t>
      </w:r>
    </w:p>
    <w:p>
      <w:r>
        <w:t>Unrelated Observation: The ambient temperature in the room was consistently at 22°C, ensuring stability.</w:t>
      </w:r>
    </w:p>
    <w:p>
      <w:r>
        <w:t>2. Wear Evaluation and Infrared Spectra:</w:t>
      </w:r>
    </w:p>
    <w:p>
      <w:r>
        <w:t>| Sample | Instrument | Measurement | Unit  |</w:t>
      </w:r>
    </w:p>
    <w:p>
      <w:r>
        <w:t>|--------|------------|-------------|------|</w:t>
      </w:r>
    </w:p>
    <w:p>
      <w:r>
        <w:t>| B      | FB-1000    | 0.500       | mm   |</w:t>
      </w:r>
    </w:p>
    <w:p>
      <w:r>
        <w:t>| B      | FTIR-8400  | 1500        | 1/cm |</w:t>
      </w:r>
    </w:p>
    <w:p>
      <w:r>
        <w:t>The minimal wear observed with Sample B suggests a favorable lubricant property possibly due to Jojoba Oil content. The FTIR data points at 1500 1/cm insinuate specific chemical bonding resonance.</w:t>
      </w:r>
    </w:p>
    <w:p>
      <w:r>
        <w:t>Confusing Detail: Bubbles were observed in the oil during some moments, irrelevant perhaps, but noteworthy.</w:t>
      </w:r>
    </w:p>
    <w:p>
      <w:r>
        <w:t>3. Mass and Chromatographic Separation:</w:t>
      </w:r>
    </w:p>
    <w:p>
      <w:r>
        <w:t>| Sample | Instrument  | Measurement | Unit   |</w:t>
      </w:r>
    </w:p>
    <w:p>
      <w:r>
        <w:t>|--------|-------------|-------------|--------|</w:t>
      </w:r>
    </w:p>
    <w:p>
      <w:r>
        <w:t>| C      | MS-20       | 500         | m/z    |</w:t>
      </w:r>
    </w:p>
    <w:p>
      <w:r>
        <w:t>| C      | HPLC-9000   | 300         | mg/L   |</w:t>
      </w:r>
    </w:p>
    <w:p>
      <w:r>
        <w:t>For Sample C, the mass spectrometer reveals a critical mass-to-charge ratio, suggesting a stable mixture. The high HPLC reading confirms the concentration level, indicative of complete mixing.</w:t>
      </w:r>
    </w:p>
    <w:p>
      <w:r>
        <w:t>Irrelevant Finding: One lab coat was blue, contrasting the generally white attire, striking yet irrelevant.</w:t>
      </w:r>
    </w:p>
    <w:p>
      <w:r>
        <w:t>Conclusion:The analytical assessment revealed unique chemical profiles for each sample, enhancing our understanding of these complex mixtures. With the integration of diverse instruments, we comprehensively examined the samples' properties. Each technique unveiled distinct facets, contributing to a holistic examination of these formulations.</w:t>
      </w:r>
    </w:p>
    <w:p>
      <w:r>
        <w:t>Final Thoughts: Constant pursuit of analytical excellence is key in the evolving landscape of chemical assessment.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