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Investigation of Compound Mixtures</w:t>
      </w:r>
    </w:p>
    <w:p>
      <w:r>
        <w:t>Report ID: Report_456</w:t>
      </w:r>
    </w:p>
    <w:p>
      <w:r>
        <w:t>Abstract</w:t>
      </w:r>
    </w:p>
    <w:p>
      <w:r>
        <w:t>This study investigates various compound mixtures utilizing advanced chromatography and spectrometric techniques. Samples included combinations such as Coconut Oil, Beeswax, and Vitamin E, among others. Precise measurements were made using instruments like Gas Chromatograph GC-2010 and Viscometer VS-300, revealing unique characteristics and concentrations.</w:t>
      </w:r>
    </w:p>
    <w:p>
      <w:r>
        <w:t>Methodology</w:t>
      </w:r>
    </w:p>
    <w:p>
      <w:r>
        <w:t>Equipment and Materials:</w:t>
      </w:r>
    </w:p>
    <w:p>
      <w:r>
        <w:t>Random note: Always handle samples with care to avoid contamination and ensure accurate results.</w:t>
      </w:r>
    </w:p>
    <w:p>
      <w:r>
        <w:t>Observations and Measurements:</w:t>
      </w:r>
    </w:p>
    <w:p>
      <w:r>
        <w:t>Table 1: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Coconut Oil, Vitamin E</w:t>
            </w:r>
          </w:p>
        </w:tc>
        <w:tc>
          <w:tcPr>
            <w:tcW w:type="dxa" w:w="2160"/>
          </w:tcPr>
          <w:p>
            <w:pPr>
              <w:jc w:val="center"/>
            </w:pPr>
            <w:r>
              <w:t>524.7</w:t>
            </w:r>
          </w:p>
        </w:tc>
        <w:tc>
          <w:tcPr>
            <w:tcW w:type="dxa" w:w="2160"/>
          </w:tcPr>
          <w:p>
            <w:pPr>
              <w:jc w:val="center"/>
            </w:pPr>
            <w:r>
              <w:t>ppm</w:t>
            </w:r>
          </w:p>
        </w:tc>
      </w:tr>
      <w:tr>
        <w:tc>
          <w:tcPr>
            <w:tcW w:type="dxa" w:w="2160"/>
          </w:tcPr>
          <w:p>
            <w:pPr>
              <w:jc w:val="center"/>
            </w:pPr>
            <w:r>
              <w:t>Ion Chromatograph IC-2100</w:t>
            </w:r>
          </w:p>
        </w:tc>
        <w:tc>
          <w:tcPr>
            <w:tcW w:type="dxa" w:w="2160"/>
          </w:tcPr>
          <w:p>
            <w:pPr>
              <w:jc w:val="center"/>
            </w:pPr>
            <w:r>
              <w:t>Jojoba Oil, Cetyl Alcohol, Vitamin E</w:t>
            </w:r>
          </w:p>
        </w:tc>
        <w:tc>
          <w:tcPr>
            <w:tcW w:type="dxa" w:w="2160"/>
          </w:tcPr>
          <w:p>
            <w:pPr>
              <w:jc w:val="center"/>
            </w:pPr>
            <w:r>
              <w:t>5.18</w:t>
            </w:r>
          </w:p>
        </w:tc>
        <w:tc>
          <w:tcPr>
            <w:tcW w:type="dxa" w:w="2160"/>
          </w:tcPr>
          <w:p>
            <w:pPr>
              <w:jc w:val="center"/>
            </w:pPr>
            <w:r>
              <w:t>mM</w:t>
            </w:r>
          </w:p>
        </w:tc>
      </w:tr>
    </w:tbl>
    <w:p>
      <w:r>
        <w:t>Waste disposal protocols were strictly followed.</w:t>
      </w:r>
    </w:p>
    <w:p>
      <w:r>
        <w:t>Table 2: Optical and Thermal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Almond Oil, Beeswax</w:t>
            </w:r>
          </w:p>
        </w:tc>
        <w:tc>
          <w:tcPr>
            <w:tcW w:type="dxa" w:w="2160"/>
          </w:tcPr>
          <w:p>
            <w:pPr>
              <w:jc w:val="center"/>
            </w:pPr>
            <w:r>
              <w:t>2.3</w:t>
            </w:r>
          </w:p>
        </w:tc>
        <w:tc>
          <w:tcPr>
            <w:tcW w:type="dxa" w:w="2160"/>
          </w:tcPr>
          <w:p>
            <w:pPr>
              <w:jc w:val="center"/>
            </w:pPr>
            <w:r>
              <w:t>OD</w:t>
            </w:r>
          </w:p>
        </w:tc>
      </w:tr>
      <w:tr>
        <w:tc>
          <w:tcPr>
            <w:tcW w:type="dxa" w:w="2160"/>
          </w:tcPr>
          <w:p>
            <w:pPr>
              <w:jc w:val="center"/>
            </w:pPr>
            <w:r>
              <w:t>Thermocycler TC-5000</w:t>
            </w:r>
          </w:p>
        </w:tc>
        <w:tc>
          <w:tcPr>
            <w:tcW w:type="dxa" w:w="2160"/>
          </w:tcPr>
          <w:p>
            <w:pPr>
              <w:jc w:val="center"/>
            </w:pPr>
            <w:r>
              <w:t>Coconut Oil, Gum, Glycerin</w:t>
            </w:r>
          </w:p>
        </w:tc>
        <w:tc>
          <w:tcPr>
            <w:tcW w:type="dxa" w:w="2160"/>
          </w:tcPr>
          <w:p>
            <w:pPr>
              <w:jc w:val="center"/>
            </w:pPr>
            <w:r>
              <w:t>72.0</w:t>
            </w:r>
          </w:p>
        </w:tc>
        <w:tc>
          <w:tcPr>
            <w:tcW w:type="dxa" w:w="2160"/>
          </w:tcPr>
          <w:p>
            <w:pPr>
              <w:jc w:val="center"/>
            </w:pPr>
            <w:r>
              <w:t>°C</w:t>
            </w:r>
          </w:p>
        </w:tc>
      </w:tr>
    </w:tbl>
    <w:p>
      <w:r>
        <w:t>Complex interaction between components requires thorough understanding of underlying mechanisms.</w:t>
      </w:r>
    </w:p>
    <w:p>
      <w:r>
        <w:t>Table 3: Viscosity and Titration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2054.33</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5116.25</w:t>
            </w:r>
          </w:p>
        </w:tc>
        <w:tc>
          <w:tcPr>
            <w:tcW w:type="dxa" w:w="2160"/>
          </w:tcPr>
          <w:p>
            <w:pPr>
              <w:jc w:val="center"/>
            </w:pPr>
            <w:r>
              <w:t>cP</w:t>
            </w:r>
          </w:p>
        </w:tc>
      </w:tr>
      <w:tr>
        <w:tc>
          <w:tcPr>
            <w:tcW w:type="dxa" w:w="2160"/>
          </w:tcPr>
          <w:p>
            <w:pPr>
              <w:jc w:val="center"/>
            </w:pPr>
            <w:r>
              <w:t>Titrator T-905</w:t>
            </w:r>
          </w:p>
        </w:tc>
        <w:tc>
          <w:tcPr>
            <w:tcW w:type="dxa" w:w="2160"/>
          </w:tcPr>
          <w:p>
            <w:pPr>
              <w:jc w:val="center"/>
            </w:pPr>
            <w:r>
              <w:t>Coconut Oil</w:t>
            </w:r>
          </w:p>
        </w:tc>
        <w:tc>
          <w:tcPr>
            <w:tcW w:type="dxa" w:w="2160"/>
          </w:tcPr>
          <w:p>
            <w:pPr>
              <w:jc w:val="center"/>
            </w:pPr>
            <w:r>
              <w:t>0.007</w:t>
            </w:r>
          </w:p>
        </w:tc>
        <w:tc>
          <w:tcPr>
            <w:tcW w:type="dxa" w:w="2160"/>
          </w:tcPr>
          <w:p>
            <w:pPr>
              <w:jc w:val="center"/>
            </w:pPr>
            <w:r>
              <w:t>M</w:t>
            </w:r>
          </w:p>
        </w:tc>
      </w:tr>
    </w:tbl>
    <w:p>
      <w:r>
        <w:t>Results</w:t>
      </w:r>
    </w:p>
    <w:p>
      <w:r>
        <w:t>The chromatographic analyses revealed that the concentration of Vitamin E in Coconut Oil was notably high at524.7 ppm, which is indicative of potential antioxidative qualities. The Ion Chromatograph IC-2100 recorded a5.18 mMconcentration of ionic species in the Jojoba Oil, Cetyl Alcohol, and Vitamin E mixture, suggesting possibly enhanced stability.</w:t>
      </w:r>
    </w:p>
    <w:p>
      <w:r>
        <w:t>Optical Density(2.3 OD) from the Microplate Reader MRX in Almond Oil and Beeswax indicates moderate light absorption, reflecting component interactions.</w:t>
      </w:r>
    </w:p>
    <w:p>
      <w:r>
        <w:t>Regarding thermal properties, the Thermocycler TC-5000 highlighted that the Jojoba Oil mixture maintained a stable temperature at72°C, signifying thermal resilience. Note: A malfunction occurred but was resolved without impacting the data.</w:t>
      </w:r>
    </w:p>
    <w:p>
      <w:r>
        <w:t>Viscosity analysis demonstrated considerable differences. For Jojoba Oil, Gum, and Vitamin E, a viscosity of2054.33 cPwas measured. However, the viscosity skyrocketed in the Coconut Oil, Cetyl Alcohol, and Vitamin E mixture, peaking at5116.25 cP; emphasizing the influence of Cetyl Alcohol on rheology.</w:t>
      </w:r>
    </w:p>
    <w:p>
      <w:r>
        <w:t>Discussion</w:t>
      </w:r>
    </w:p>
    <w:p>
      <w:r>
        <w:t>In this complex study, myriad analytical techniques were harmonized to dissect multi-component systems. Each measurement contributed valuable insights into the behavior of constituent oils and additives. It was notable that viscosity measurements served as a critical indicator of intermolecular interactions, likely correlating with molecular weight variations and associative forces.</w:t>
      </w:r>
    </w:p>
    <w:p>
      <w:r>
        <w:t>The broad variability in results underlines the importance of methodical sample preparation and instrument calibration. Random fluctuations aside, these findings pave the way for further exploration into organic compound formulation.</w:t>
      </w:r>
    </w:p>
    <w:p>
      <w:r>
        <w:t>Conclusion</w:t>
      </w:r>
    </w:p>
    <w:p>
      <w:r>
        <w:t>The intricate analyses performed with varied instruments yield a spectrum of data reflecting the unique physical and chemical properties of each sample mixture. Continued investigations are necessary to delineate the roles and effects of individual components within blends, thus enhancing applications in fields ranging from cosmetics to food science.</w:t>
      </w:r>
    </w:p>
    <w:p>
      <w:r>
        <w:t>Note: Procedural nuances must be considered when interpreting the data relations, due to the intrinsic complexity of multi-component analytical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