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Advanced Laboratory Report</w:t>
      </w:r>
    </w:p>
    <w:p>
      <w:r>
        <w:t>Report ID: Report_699</w:t>
      </w:r>
    </w:p>
    <w:p>
      <w:r>
        <w:t>Introduction</w:t>
      </w:r>
    </w:p>
    <w:p>
      <w:r>
        <w:t>The following detailed lab report for Report_699 documents the experimental synthesis and analysis of various mixture samples using an array of sophisticated instruments. Each unique test sample, composed of both primary and secondary compounds, was subjected to a series of analytical procedures. These methodologies aimed to elucidate the samples' intrinsic and extrinsic properties, while unrelated exploratory findings were sporadically noted.</w:t>
      </w:r>
    </w:p>
    <w:p>
      <w:r>
        <w:t>Experimental Methodology</w:t>
      </w:r>
    </w:p>
    <w:p>
      <w:r>
        <w:t>The instruments employed in this detailed analysis encompassed devices like the pH Meter PH-700, NMR Spectrometer NMR-500, Spectrometer Alpha-300, Titrator T-905, Viscometer VS-300, and Microplate Reader MRX. Each apparatus was tasked with specific measures, evaluating either the chemical or physical attributes of the formulations.</w:t>
      </w:r>
    </w:p>
    <w:p>
      <w:r>
        <w:t>Observations &amp; Measurements</w:t>
      </w:r>
    </w:p>
    <w:p>
      <w:r>
        <w:t>Table 1: pH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pH</w:t>
            </w:r>
          </w:p>
        </w:tc>
      </w:tr>
      <w:tr>
        <w:tc>
          <w:tcPr>
            <w:tcW w:type="dxa" w:w="2880"/>
          </w:tcPr>
          <w:p>
            <w:pPr>
              <w:jc w:val="center"/>
            </w:pPr>
            <w:r>
              <w:t>PH-700</w:t>
            </w:r>
          </w:p>
        </w:tc>
        <w:tc>
          <w:tcPr>
            <w:tcW w:type="dxa" w:w="2880"/>
          </w:tcPr>
          <w:p>
            <w:pPr>
              <w:jc w:val="center"/>
            </w:pPr>
            <w:r>
              <w:t>Coconut Oil, Cetyl Alcohol, Vitamin E</w:t>
            </w:r>
          </w:p>
        </w:tc>
        <w:tc>
          <w:tcPr>
            <w:tcW w:type="dxa" w:w="2880"/>
          </w:tcPr>
          <w:p>
            <w:pPr>
              <w:jc w:val="center"/>
            </w:pPr>
            <w:r>
              <w:t>7.2</w:t>
            </w:r>
          </w:p>
        </w:tc>
      </w:tr>
      <w:tr>
        <w:tc>
          <w:tcPr>
            <w:tcW w:type="dxa" w:w="2880"/>
          </w:tcPr>
          <w:p>
            <w:pPr>
              <w:jc w:val="center"/>
            </w:pPr>
            <w:r>
              <w:t>PH-700</w:t>
            </w:r>
          </w:p>
        </w:tc>
        <w:tc>
          <w:tcPr>
            <w:tcW w:type="dxa" w:w="2880"/>
          </w:tcPr>
          <w:p>
            <w:pPr>
              <w:jc w:val="center"/>
            </w:pPr>
            <w:r>
              <w:t>Coconut Oil</w:t>
            </w:r>
          </w:p>
        </w:tc>
        <w:tc>
          <w:tcPr>
            <w:tcW w:type="dxa" w:w="2880"/>
          </w:tcPr>
          <w:p>
            <w:pPr>
              <w:jc w:val="center"/>
            </w:pPr>
            <w:r>
              <w:t>8.4</w:t>
            </w:r>
          </w:p>
        </w:tc>
      </w:tr>
    </w:tbl>
    <w:p>
      <w:r>
        <w:t>Analysis of pH demonstrated diverse levels of acidity and alkalinity amongst the sample mixtures, with noteworthy deviations conditioning implications on stability and reactivity.</w:t>
      </w:r>
    </w:p>
    <w:p>
      <w:r>
        <w:t>Table 2: NMR Spectroscopy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Chemical Shift (ppm)</w:t>
            </w:r>
          </w:p>
        </w:tc>
      </w:tr>
      <w:tr>
        <w:tc>
          <w:tcPr>
            <w:tcW w:type="dxa" w:w="2880"/>
          </w:tcPr>
          <w:p>
            <w:pPr>
              <w:jc w:val="center"/>
            </w:pPr>
            <w:r>
              <w:t>NMR-500</w:t>
            </w:r>
          </w:p>
        </w:tc>
        <w:tc>
          <w:tcPr>
            <w:tcW w:type="dxa" w:w="2880"/>
          </w:tcPr>
          <w:p>
            <w:pPr>
              <w:jc w:val="center"/>
            </w:pPr>
            <w:r>
              <w:t>Jojoba Oil</w:t>
            </w:r>
          </w:p>
        </w:tc>
        <w:tc>
          <w:tcPr>
            <w:tcW w:type="dxa" w:w="2880"/>
          </w:tcPr>
          <w:p>
            <w:pPr>
              <w:jc w:val="center"/>
            </w:pPr>
            <w:r>
              <w:t>5.8</w:t>
            </w:r>
          </w:p>
        </w:tc>
      </w:tr>
      <w:tr>
        <w:tc>
          <w:tcPr>
            <w:tcW w:type="dxa" w:w="2880"/>
          </w:tcPr>
          <w:p>
            <w:pPr>
              <w:jc w:val="center"/>
            </w:pPr>
            <w:r>
              <w:t>NMR-500</w:t>
            </w:r>
          </w:p>
        </w:tc>
        <w:tc>
          <w:tcPr>
            <w:tcW w:type="dxa" w:w="2880"/>
          </w:tcPr>
          <w:p>
            <w:pPr>
              <w:jc w:val="center"/>
            </w:pPr>
            <w:r>
              <w:t>Jojoba Oil, Gum, Vitamin E</w:t>
            </w:r>
          </w:p>
        </w:tc>
        <w:tc>
          <w:tcPr>
            <w:tcW w:type="dxa" w:w="2880"/>
          </w:tcPr>
          <w:p>
            <w:pPr>
              <w:jc w:val="center"/>
            </w:pPr>
            <w:r>
              <w:t>15.3</w:t>
            </w:r>
          </w:p>
        </w:tc>
      </w:tr>
    </w:tbl>
    <w:p>
      <w:r>
        <w:t>Subtle complexities arose within the molecular configuration. Surprisingly, synthetic applicability and potential molecular interactions showed significant shifts upon the introduction of additives.</w:t>
      </w:r>
    </w:p>
    <w:p>
      <w:r>
        <w:t>Table 3: Spectral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Wavelength (nm)</w:t>
            </w:r>
          </w:p>
        </w:tc>
      </w:tr>
      <w:tr>
        <w:tc>
          <w:tcPr>
            <w:tcW w:type="dxa" w:w="2880"/>
          </w:tcPr>
          <w:p>
            <w:pPr>
              <w:jc w:val="center"/>
            </w:pPr>
            <w:r>
              <w:t>Alpha-300</w:t>
            </w:r>
          </w:p>
        </w:tc>
        <w:tc>
          <w:tcPr>
            <w:tcW w:type="dxa" w:w="2880"/>
          </w:tcPr>
          <w:p>
            <w:pPr>
              <w:jc w:val="center"/>
            </w:pPr>
            <w:r>
              <w:t>Jojoba Oil, Cetyl Alcohol, Vitamin E</w:t>
            </w:r>
          </w:p>
        </w:tc>
        <w:tc>
          <w:tcPr>
            <w:tcW w:type="dxa" w:w="2880"/>
          </w:tcPr>
          <w:p>
            <w:pPr>
              <w:jc w:val="center"/>
            </w:pPr>
            <w:r>
              <w:t>540</w:t>
            </w:r>
          </w:p>
        </w:tc>
      </w:tr>
      <w:tr>
        <w:tc>
          <w:tcPr>
            <w:tcW w:type="dxa" w:w="2880"/>
          </w:tcPr>
          <w:p>
            <w:pPr>
              <w:jc w:val="center"/>
            </w:pPr>
            <w:r>
              <w:t>Alpha-300</w:t>
            </w:r>
          </w:p>
        </w:tc>
        <w:tc>
          <w:tcPr>
            <w:tcW w:type="dxa" w:w="2880"/>
          </w:tcPr>
          <w:p>
            <w:pPr>
              <w:jc w:val="center"/>
            </w:pPr>
            <w:r>
              <w:t>Coconut Oil, Beeswax, Vitamin E</w:t>
            </w:r>
          </w:p>
        </w:tc>
        <w:tc>
          <w:tcPr>
            <w:tcW w:type="dxa" w:w="2880"/>
          </w:tcPr>
          <w:p>
            <w:pPr>
              <w:jc w:val="center"/>
            </w:pPr>
            <w:r>
              <w:t>620</w:t>
            </w:r>
          </w:p>
        </w:tc>
      </w:tr>
    </w:tbl>
    <w:p>
      <w:r>
        <w:t>DISCUSSION: Optics-related findings reveal critical alignments within spectral symmetry, indicative of potential photo-reactive pathways.</w:t>
      </w:r>
    </w:p>
    <w:p>
      <w:r>
        <w:t>Table 4: Titration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Molarity (M)</w:t>
            </w:r>
          </w:p>
        </w:tc>
      </w:tr>
      <w:tr>
        <w:tc>
          <w:tcPr>
            <w:tcW w:type="dxa" w:w="2880"/>
          </w:tcPr>
          <w:p>
            <w:pPr>
              <w:jc w:val="center"/>
            </w:pPr>
            <w:r>
              <w:t>Titrator T-905</w:t>
            </w:r>
          </w:p>
        </w:tc>
        <w:tc>
          <w:tcPr>
            <w:tcW w:type="dxa" w:w="2880"/>
          </w:tcPr>
          <w:p>
            <w:pPr>
              <w:jc w:val="center"/>
            </w:pPr>
            <w:r>
              <w:t>Coconut Oil, Glycerin</w:t>
            </w:r>
          </w:p>
        </w:tc>
        <w:tc>
          <w:tcPr>
            <w:tcW w:type="dxa" w:w="2880"/>
          </w:tcPr>
          <w:p>
            <w:pPr>
              <w:jc w:val="center"/>
            </w:pPr>
            <w:r>
              <w:t>0.005</w:t>
            </w:r>
          </w:p>
        </w:tc>
      </w:tr>
    </w:tbl>
    <w:p>
      <w:r>
        <w:t>Anomalously low molarity recorded suggested a negligible acid presence, perhaps forcibly diluted by repeat trials intended to minimize error margins.</w:t>
      </w:r>
    </w:p>
    <w:p>
      <w:r>
        <w:t>Table 5: Viscosity and Absorbance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Viscosity (cP) / Absorbance (OD)</w:t>
            </w:r>
          </w:p>
        </w:tc>
      </w:tr>
      <w:tr>
        <w:tc>
          <w:tcPr>
            <w:tcW w:type="dxa" w:w="2880"/>
          </w:tcPr>
          <w:p>
            <w:pPr>
              <w:jc w:val="center"/>
            </w:pPr>
            <w:r>
              <w:t>VS-300</w:t>
            </w:r>
          </w:p>
        </w:tc>
        <w:tc>
          <w:tcPr>
            <w:tcW w:type="dxa" w:w="2880"/>
          </w:tcPr>
          <w:p>
            <w:pPr>
              <w:jc w:val="center"/>
            </w:pPr>
            <w:r>
              <w:t>Almond Oil, Glycerin</w:t>
            </w:r>
          </w:p>
        </w:tc>
        <w:tc>
          <w:tcPr>
            <w:tcW w:type="dxa" w:w="2880"/>
          </w:tcPr>
          <w:p>
            <w:pPr>
              <w:jc w:val="center"/>
            </w:pPr>
            <w:r>
              <w:t>7404.99 cP</w:t>
            </w:r>
          </w:p>
        </w:tc>
      </w:tr>
      <w:tr>
        <w:tc>
          <w:tcPr>
            <w:tcW w:type="dxa" w:w="2880"/>
          </w:tcPr>
          <w:p>
            <w:pPr>
              <w:jc w:val="center"/>
            </w:pPr>
            <w:r>
              <w:t>MRX</w:t>
            </w:r>
          </w:p>
        </w:tc>
        <w:tc>
          <w:tcPr>
            <w:tcW w:type="dxa" w:w="2880"/>
          </w:tcPr>
          <w:p>
            <w:pPr>
              <w:jc w:val="center"/>
            </w:pPr>
            <w:r>
              <w:t>Jojoba Oil, Beeswax, Glycerin</w:t>
            </w:r>
          </w:p>
        </w:tc>
        <w:tc>
          <w:tcPr>
            <w:tcW w:type="dxa" w:w="2880"/>
          </w:tcPr>
          <w:p>
            <w:pPr>
              <w:jc w:val="center"/>
            </w:pPr>
            <w:r>
              <w:t>0.8 OD</w:t>
            </w:r>
          </w:p>
        </w:tc>
      </w:tr>
    </w:tbl>
    <w:p>
      <w:r>
        <w:t>Although unexpected, these viscosity measurements exhibited unparalleled consistency, juxtaposed by anomalous, empirically derived optometric density scores.</w:t>
      </w:r>
    </w:p>
    <w:p>
      <w:r>
        <w:t>Irrelevant Findings</w:t>
      </w:r>
    </w:p>
    <w:p>
      <w:r>
        <w:t>In parallel to the primary objectives, unrelated benign anomalies were randomly encountered, inferring that quantum flux aberrations within these comparative analyses pose negligible interference, barring improbable nullification of spectral resolution.</w:t>
      </w:r>
    </w:p>
    <w:p>
      <w:r>
        <w:t>Conclusion</w:t>
      </w:r>
    </w:p>
    <w:p>
      <w:r>
        <w:t>The comprehensive multi-paradigm analysis of each sample provided empirical insight into their physico-chemical complexities. From ascertainable pH drift to non-trivial viscosity spikes, the tasks fundamentally extended our understanding of the mixtures' ecological footprints and future utilities.</w:t>
      </w:r>
    </w:p>
    <w:p>
      <w:r>
        <w:t>This report affirms ongoing compliance with evolving benchmarks but stresses unpredictable challenges, hinting at a naissant frontier within material science exploration.</w:t>
      </w:r>
    </w:p>
    <w:p>
      <w:r>
        <w:t>Appendix: Raw Data Extracts</w:t>
      </w:r>
    </w:p>
    <w:p>
      <w:r>
        <w:t>To facilitate further analysis, additional extraneous data patterns have been conditionally omitted but remain accessible upon scrutiny under revised sector protocols, reinforcing the ethos of reproducibility and scientific rigor.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