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Identifier: Report_701</w:t>
      </w:r>
    </w:p>
    <w:p>
      <w:r>
        <w:t>Introduction</w:t>
      </w:r>
    </w:p>
    <w:p>
      <w:r>
        <w:t>This report documents the detailed analysis of various samples using sophisticated instruments. Each sample is treated as a unique mixture, emphasizing the specific interactions between components. Our tests utilize mass spectrometry, NMR spectroscopy, rheometry, thermocycling, UV-visible spectrophotometry, liquid chromatography, and viscometry. The focus is on evaluating the properties and interactions of these mixtures, with observations comprised of qualitative and quantitative assessments.</w:t>
      </w:r>
    </w:p>
    <w:p>
      <w:r>
        <w:t>Experimental Setup</w:t>
      </w:r>
    </w:p>
    <w:p>
      <w:r>
        <w:t>Instrumentation and Conditions</w:t>
      </w:r>
    </w:p>
    <w:p>
      <w:r>
        <w:t>The experiment used several high-precision instruments. Each test was conducted under controlled parameters specific to the instrumentation.</w:t>
      </w:r>
    </w:p>
    <w:p>
      <w:r>
        <w:t>Observations and Results</w:t>
      </w:r>
    </w:p>
    <w:p>
      <w:r>
        <w:t>Below are the lab results and interpretations.</w:t>
      </w:r>
    </w:p>
    <w:p>
      <w:r>
        <w:t>Coconut Oil, Cetyl Alcohol (Mass Spectrometry)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Observation</w:t>
            </w:r>
          </w:p>
        </w:tc>
        <w:tc>
          <w:tcPr>
            <w:tcW w:type="dxa" w:w="4320"/>
          </w:tcPr>
          <w:p>
            <w:pPr>
              <w:jc w:val="center"/>
            </w:pPr>
            <w:r>
              <w:rPr>
                <w:b/>
              </w:rPr>
              <w:t>Value</w:t>
            </w:r>
          </w:p>
        </w:tc>
      </w:tr>
      <w:tr>
        <w:tc>
          <w:tcPr>
            <w:tcW w:type="dxa" w:w="4320"/>
          </w:tcPr>
          <w:p>
            <w:pPr>
              <w:jc w:val="center"/>
            </w:pPr>
            <w:r>
              <w:t>Compound</w:t>
            </w:r>
          </w:p>
        </w:tc>
        <w:tc>
          <w:tcPr>
            <w:tcW w:type="dxa" w:w="4320"/>
          </w:tcPr>
          <w:p>
            <w:pPr>
              <w:jc w:val="center"/>
            </w:pPr>
            <w:r>
              <w:t>Cetyl Alcohol</w:t>
            </w:r>
          </w:p>
        </w:tc>
      </w:tr>
      <w:tr>
        <w:tc>
          <w:tcPr>
            <w:tcW w:type="dxa" w:w="4320"/>
          </w:tcPr>
          <w:p>
            <w:pPr>
              <w:jc w:val="center"/>
            </w:pPr>
            <w:r>
              <w:t>Peak m/z</w:t>
            </w:r>
          </w:p>
        </w:tc>
        <w:tc>
          <w:tcPr>
            <w:tcW w:type="dxa" w:w="4320"/>
          </w:tcPr>
          <w:p>
            <w:pPr>
              <w:jc w:val="center"/>
            </w:pPr>
            <w:r>
              <w:t>1500</w:t>
            </w:r>
          </w:p>
        </w:tc>
      </w:tr>
      <w:tr>
        <w:tc>
          <w:tcPr>
            <w:tcW w:type="dxa" w:w="4320"/>
          </w:tcPr>
          <w:p>
            <w:pPr>
              <w:jc w:val="center"/>
            </w:pPr>
            <w:r>
              <w:t>Remarks</w:t>
            </w:r>
          </w:p>
        </w:tc>
        <w:tc>
          <w:tcPr>
            <w:tcW w:type="dxa" w:w="4320"/>
          </w:tcPr>
          <w:p>
            <w:pPr>
              <w:jc w:val="center"/>
            </w:pPr>
            <w:r>
              <w:t>A prominent peak indicating significant cetyl alcohol presence. Phenolics and alcohols often show strong ionization, resulting in clear m/z separation.</w:t>
            </w:r>
          </w:p>
        </w:tc>
      </w:tr>
    </w:tbl>
    <w:p>
      <w:r>
        <w:t>Coconut Oil, Glycerin (NMR Spectroscopy)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Observation</w:t>
            </w:r>
          </w:p>
        </w:tc>
        <w:tc>
          <w:tcPr>
            <w:tcW w:type="dxa" w:w="4320"/>
          </w:tcPr>
          <w:p>
            <w:pPr>
              <w:jc w:val="center"/>
            </w:pPr>
            <w:r>
              <w:rPr>
                <w:b/>
              </w:rPr>
              <w:t>Value</w:t>
            </w:r>
          </w:p>
        </w:tc>
      </w:tr>
      <w:tr>
        <w:tc>
          <w:tcPr>
            <w:tcW w:type="dxa" w:w="4320"/>
          </w:tcPr>
          <w:p>
            <w:pPr>
              <w:jc w:val="center"/>
            </w:pPr>
            <w:r>
              <w:t>Compound</w:t>
            </w:r>
          </w:p>
        </w:tc>
        <w:tc>
          <w:tcPr>
            <w:tcW w:type="dxa" w:w="4320"/>
          </w:tcPr>
          <w:p>
            <w:pPr>
              <w:jc w:val="center"/>
            </w:pPr>
            <w:r>
              <w:t>Glycerin</w:t>
            </w:r>
          </w:p>
        </w:tc>
      </w:tr>
      <w:tr>
        <w:tc>
          <w:tcPr>
            <w:tcW w:type="dxa" w:w="4320"/>
          </w:tcPr>
          <w:p>
            <w:pPr>
              <w:jc w:val="center"/>
            </w:pPr>
            <w:r>
              <w:t>Shift (ppm)</w:t>
            </w:r>
          </w:p>
        </w:tc>
        <w:tc>
          <w:tcPr>
            <w:tcW w:type="dxa" w:w="4320"/>
          </w:tcPr>
          <w:p>
            <w:pPr>
              <w:jc w:val="center"/>
            </w:pPr>
            <w:r>
              <w:t>12</w:t>
            </w:r>
          </w:p>
        </w:tc>
      </w:tr>
      <w:tr>
        <w:tc>
          <w:tcPr>
            <w:tcW w:type="dxa" w:w="4320"/>
          </w:tcPr>
          <w:p>
            <w:pPr>
              <w:jc w:val="center"/>
            </w:pPr>
            <w:r>
              <w:t>Remarks</w:t>
            </w:r>
          </w:p>
        </w:tc>
        <w:tc>
          <w:tcPr>
            <w:tcW w:type="dxa" w:w="4320"/>
          </w:tcPr>
          <w:p>
            <w:pPr>
              <w:jc w:val="center"/>
            </w:pPr>
            <w:r>
              <w:t>Proton NMR suggests distinctive shifts due to the hydroxyl groups, giving insights into hydrogen bonding interactions.</w:t>
            </w:r>
          </w:p>
        </w:tc>
      </w:tr>
    </w:tbl>
    <w:p>
      <w:r>
        <w:t>Some unrelated commentary on hydrogen bonding and polar solvation effects often distorts data but was found manageable due to calibration protocols.</w:t>
      </w:r>
    </w:p>
    <w:p>
      <w:r>
        <w:t>Almond Oil, Beeswax, Glycerin (Rheometry)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Observation</w:t>
            </w:r>
          </w:p>
        </w:tc>
        <w:tc>
          <w:tcPr>
            <w:tcW w:type="dxa" w:w="4320"/>
          </w:tcPr>
          <w:p>
            <w:pPr>
              <w:jc w:val="center"/>
            </w:pPr>
            <w:r>
              <w:rPr>
                <w:b/>
              </w:rPr>
              <w:t>Value</w:t>
            </w:r>
          </w:p>
        </w:tc>
      </w:tr>
      <w:tr>
        <w:tc>
          <w:tcPr>
            <w:tcW w:type="dxa" w:w="4320"/>
          </w:tcPr>
          <w:p>
            <w:pPr>
              <w:jc w:val="center"/>
            </w:pPr>
            <w:r>
              <w:t>Sample Mixture</w:t>
            </w:r>
          </w:p>
        </w:tc>
        <w:tc>
          <w:tcPr>
            <w:tcW w:type="dxa" w:w="4320"/>
          </w:tcPr>
          <w:p>
            <w:pPr>
              <w:jc w:val="center"/>
            </w:pPr>
            <w:r>
              <w:t>Beeswax, Almond Oil</w:t>
            </w:r>
          </w:p>
        </w:tc>
      </w:tr>
      <w:tr>
        <w:tc>
          <w:tcPr>
            <w:tcW w:type="dxa" w:w="4320"/>
          </w:tcPr>
          <w:p>
            <w:pPr>
              <w:jc w:val="center"/>
            </w:pPr>
            <w:r>
              <w:t>Viscosity (Pa-s)</w:t>
            </w:r>
          </w:p>
        </w:tc>
        <w:tc>
          <w:tcPr>
            <w:tcW w:type="dxa" w:w="4320"/>
          </w:tcPr>
          <w:p>
            <w:pPr>
              <w:jc w:val="center"/>
            </w:pPr>
            <w:r>
              <w:t>480</w:t>
            </w:r>
          </w:p>
        </w:tc>
      </w:tr>
      <w:tr>
        <w:tc>
          <w:tcPr>
            <w:tcW w:type="dxa" w:w="4320"/>
          </w:tcPr>
          <w:p>
            <w:pPr>
              <w:jc w:val="center"/>
            </w:pPr>
            <w:r>
              <w:t>Description</w:t>
            </w:r>
          </w:p>
        </w:tc>
        <w:tc>
          <w:tcPr>
            <w:tcW w:type="dxa" w:w="4320"/>
          </w:tcPr>
          <w:p>
            <w:pPr>
              <w:jc w:val="center"/>
            </w:pPr>
            <w:r>
              <w:t>Exhibited high consistency typical of structural lipid matrices, demonstrating resistance aligned with beeswax crystalline properties.</w:t>
            </w:r>
          </w:p>
        </w:tc>
      </w:tr>
    </w:tbl>
    <w:p>
      <w:r>
        <w:t>Coconut Oil, Gum, Vitamin E (Thermocycler)</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Observation</w:t>
            </w:r>
          </w:p>
        </w:tc>
        <w:tc>
          <w:tcPr>
            <w:tcW w:type="dxa" w:w="4320"/>
          </w:tcPr>
          <w:p>
            <w:pPr>
              <w:jc w:val="center"/>
            </w:pPr>
            <w:r>
              <w:rPr>
                <w:b/>
              </w:rPr>
              <w:t>Value</w:t>
            </w:r>
          </w:p>
        </w:tc>
      </w:tr>
      <w:tr>
        <w:tc>
          <w:tcPr>
            <w:tcW w:type="dxa" w:w="4320"/>
          </w:tcPr>
          <w:p>
            <w:pPr>
              <w:jc w:val="center"/>
            </w:pPr>
            <w:r>
              <w:t>Heat Stability</w:t>
            </w:r>
          </w:p>
        </w:tc>
        <w:tc>
          <w:tcPr>
            <w:tcW w:type="dxa" w:w="4320"/>
          </w:tcPr>
          <w:p>
            <w:pPr>
              <w:jc w:val="center"/>
            </w:pPr>
            <w:r>
              <w:t>Stable at 60°C</w:t>
            </w:r>
          </w:p>
        </w:tc>
      </w:tr>
      <w:tr>
        <w:tc>
          <w:tcPr>
            <w:tcW w:type="dxa" w:w="4320"/>
          </w:tcPr>
          <w:p>
            <w:pPr>
              <w:jc w:val="center"/>
            </w:pPr>
            <w:r>
              <w:t>Description</w:t>
            </w:r>
          </w:p>
        </w:tc>
        <w:tc>
          <w:tcPr>
            <w:tcW w:type="dxa" w:w="4320"/>
          </w:tcPr>
          <w:p>
            <w:pPr>
              <w:jc w:val="center"/>
            </w:pPr>
            <w:r>
              <w:t>The mixture's integrity at 60°C supports the synergistic antioxidant effect of Vitamin E. This stability promotes potential applications in temperature-sensitive formulations.</w:t>
            </w:r>
          </w:p>
        </w:tc>
      </w:tr>
    </w:tbl>
    <w:p>
      <w:r>
        <w:t>An erroneous assumption involving thermal breakdown was considered negligible.</w:t>
      </w:r>
    </w:p>
    <w:p>
      <w:r>
        <w:t>Jojoba Oil, Cetyl Alcohol (UV-Vis Spectrophotometry)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Observation</w:t>
            </w:r>
          </w:p>
        </w:tc>
        <w:tc>
          <w:tcPr>
            <w:tcW w:type="dxa" w:w="4320"/>
          </w:tcPr>
          <w:p>
            <w:pPr>
              <w:jc w:val="center"/>
            </w:pPr>
            <w:r>
              <w:rPr>
                <w:b/>
              </w:rPr>
              <w:t>Value</w:t>
            </w:r>
          </w:p>
        </w:tc>
      </w:tr>
      <w:tr>
        <w:tc>
          <w:tcPr>
            <w:tcW w:type="dxa" w:w="4320"/>
          </w:tcPr>
          <w:p>
            <w:pPr>
              <w:jc w:val="center"/>
            </w:pPr>
            <w:r>
              <w:t>Mixture</w:t>
            </w:r>
          </w:p>
        </w:tc>
        <w:tc>
          <w:tcPr>
            <w:tcW w:type="dxa" w:w="4320"/>
          </w:tcPr>
          <w:p>
            <w:pPr>
              <w:jc w:val="center"/>
            </w:pPr>
            <w:r>
              <w:t>Jojoba, Cetyl Alcohol</w:t>
            </w:r>
          </w:p>
        </w:tc>
      </w:tr>
      <w:tr>
        <w:tc>
          <w:tcPr>
            <w:tcW w:type="dxa" w:w="4320"/>
          </w:tcPr>
          <w:p>
            <w:pPr>
              <w:jc w:val="center"/>
            </w:pPr>
            <w:r>
              <w:t>Absorbance</w:t>
            </w:r>
          </w:p>
        </w:tc>
        <w:tc>
          <w:tcPr>
            <w:tcW w:type="dxa" w:w="4320"/>
          </w:tcPr>
          <w:p>
            <w:pPr>
              <w:jc w:val="center"/>
            </w:pPr>
            <w:r>
              <w:t>1.8 Abs</w:t>
            </w:r>
          </w:p>
        </w:tc>
      </w:tr>
      <w:tr>
        <w:tc>
          <w:tcPr>
            <w:tcW w:type="dxa" w:w="4320"/>
          </w:tcPr>
          <w:p>
            <w:pPr>
              <w:jc w:val="center"/>
            </w:pPr>
            <w:r>
              <w:t>Remarks</w:t>
            </w:r>
          </w:p>
        </w:tc>
        <w:tc>
          <w:tcPr>
            <w:tcW w:type="dxa" w:w="4320"/>
          </w:tcPr>
          <w:p>
            <w:pPr>
              <w:jc w:val="center"/>
            </w:pPr>
            <w:r>
              <w:t>High UV absorbance attributed to the unsaturated bonds of jojoba oil, indicating biochemical interactions.</w:t>
            </w:r>
          </w:p>
        </w:tc>
      </w:tr>
    </w:tbl>
    <w:p>
      <w:r>
        <w:t>Jojoba Oil, Beeswax, Vitamin E (Liquid Chromatography)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Observation</w:t>
            </w:r>
          </w:p>
        </w:tc>
        <w:tc>
          <w:tcPr>
            <w:tcW w:type="dxa" w:w="4320"/>
          </w:tcPr>
          <w:p>
            <w:pPr>
              <w:jc w:val="center"/>
            </w:pPr>
            <w:r>
              <w:rPr>
                <w:b/>
              </w:rPr>
              <w:t>Value</w:t>
            </w:r>
          </w:p>
        </w:tc>
      </w:tr>
      <w:tr>
        <w:tc>
          <w:tcPr>
            <w:tcW w:type="dxa" w:w="4320"/>
          </w:tcPr>
          <w:p>
            <w:pPr>
              <w:jc w:val="center"/>
            </w:pPr>
            <w:r>
              <w:t>Concentration</w:t>
            </w:r>
          </w:p>
        </w:tc>
        <w:tc>
          <w:tcPr>
            <w:tcW w:type="dxa" w:w="4320"/>
          </w:tcPr>
          <w:p>
            <w:pPr>
              <w:jc w:val="center"/>
            </w:pPr>
            <w:r>
              <w:t>Vitamin E</w:t>
            </w:r>
          </w:p>
        </w:tc>
      </w:tr>
      <w:tr>
        <w:tc>
          <w:tcPr>
            <w:tcW w:type="dxa" w:w="4320"/>
          </w:tcPr>
          <w:p>
            <w:pPr>
              <w:jc w:val="center"/>
            </w:pPr>
            <w:r>
              <w:t>Measured (ug/mL)</w:t>
            </w:r>
          </w:p>
        </w:tc>
        <w:tc>
          <w:tcPr>
            <w:tcW w:type="dxa" w:w="4320"/>
          </w:tcPr>
          <w:p>
            <w:pPr>
              <w:jc w:val="center"/>
            </w:pPr>
            <w:r>
              <w:t>250</w:t>
            </w:r>
          </w:p>
        </w:tc>
      </w:tr>
      <w:tr>
        <w:tc>
          <w:tcPr>
            <w:tcW w:type="dxa" w:w="4320"/>
          </w:tcPr>
          <w:p>
            <w:pPr>
              <w:jc w:val="center"/>
            </w:pPr>
            <w:r>
              <w:t>Remarks</w:t>
            </w:r>
          </w:p>
        </w:tc>
        <w:tc>
          <w:tcPr>
            <w:tcW w:type="dxa" w:w="4320"/>
          </w:tcPr>
          <w:p>
            <w:pPr>
              <w:jc w:val="center"/>
            </w:pPr>
            <w:r>
              <w:t>The chromatographic technique efficacy allowed clear Vitamin E quantification, which is crucial for determining antioxidant efficacy within cosmetic formulations.</w:t>
            </w:r>
          </w:p>
        </w:tc>
      </w:tr>
    </w:tbl>
    <w:p>
      <w:r>
        <w:t>Coconut Oil, Gum (Viscometry)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Observation</w:t>
            </w:r>
          </w:p>
        </w:tc>
        <w:tc>
          <w:tcPr>
            <w:tcW w:type="dxa" w:w="4320"/>
          </w:tcPr>
          <w:p>
            <w:pPr>
              <w:jc w:val="center"/>
            </w:pPr>
            <w:r>
              <w:rPr>
                <w:b/>
              </w:rPr>
              <w:t>Value</w:t>
            </w:r>
          </w:p>
        </w:tc>
      </w:tr>
      <w:tr>
        <w:tc>
          <w:tcPr>
            <w:tcW w:type="dxa" w:w="4320"/>
          </w:tcPr>
          <w:p>
            <w:pPr>
              <w:jc w:val="center"/>
            </w:pPr>
            <w:r>
              <w:t>Substance</w:t>
            </w:r>
          </w:p>
        </w:tc>
        <w:tc>
          <w:tcPr>
            <w:tcW w:type="dxa" w:w="4320"/>
          </w:tcPr>
          <w:p>
            <w:pPr>
              <w:jc w:val="center"/>
            </w:pPr>
            <w:r>
              <w:t>Coconut Oil, Gum</w:t>
            </w:r>
          </w:p>
        </w:tc>
      </w:tr>
      <w:tr>
        <w:tc>
          <w:tcPr>
            <w:tcW w:type="dxa" w:w="4320"/>
          </w:tcPr>
          <w:p>
            <w:pPr>
              <w:jc w:val="center"/>
            </w:pPr>
            <w:r>
              <w:t>Viscosity (cP)</w:t>
            </w:r>
          </w:p>
        </w:tc>
        <w:tc>
          <w:tcPr>
            <w:tcW w:type="dxa" w:w="4320"/>
          </w:tcPr>
          <w:p>
            <w:pPr>
              <w:jc w:val="center"/>
            </w:pPr>
            <w:r>
              <w:t>5117.17</w:t>
            </w:r>
          </w:p>
        </w:tc>
      </w:tr>
      <w:tr>
        <w:tc>
          <w:tcPr>
            <w:tcW w:type="dxa" w:w="4320"/>
          </w:tcPr>
          <w:p>
            <w:pPr>
              <w:jc w:val="center"/>
            </w:pPr>
            <w:r>
              <w:t>Remarks</w:t>
            </w:r>
          </w:p>
        </w:tc>
        <w:tc>
          <w:tcPr>
            <w:tcW w:type="dxa" w:w="4320"/>
          </w:tcPr>
          <w:p>
            <w:pPr>
              <w:jc w:val="center"/>
            </w:pPr>
            <w:r>
              <w:t>Viscosity measurement underscores the gel-like behavior, potentially due to gum's cross-linking within the coconut matrix.</w:t>
            </w:r>
          </w:p>
        </w:tc>
      </w:tr>
    </w:tbl>
    <w:p>
      <w:r>
        <w:t>In non-relevant sections, discussions with alternative hypotheses were explored.</w:t>
      </w:r>
    </w:p>
    <w:p>
      <w:r>
        <w:t>Conclusion</w:t>
      </w:r>
    </w:p>
    <w:p>
      <w:r>
        <w:t>The comprehensive analysis performed under "Report_701" revealed detailed insights into the properties of various mixtures. The instrumentation involved delivered robust data, permitting nuanced insights into chemical interactions and potential applications. Despite mixed data and irrelevant sections, core findings support advancements in formulation science and consumer product stability.</w:t>
      </w:r>
    </w:p>
    <w:p>
      <w:r>
        <w:t>Table of Irrelevancies: Hypothetical Data Considerations</w:t>
      </w:r>
    </w:p>
    <w:p>
      <w:r>
        <w:t>This report elucidates the intersection of multiple analytic conditions, fostering innovations indispensable for future material sciences.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