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Title:Analysis of Various Cosmetic Ingredient MixturesReport Number:Report_763Date:[Insert Date]Analyst:[Insert Name]</w:t>
      </w:r>
    </w:p>
    <w:p>
      <w:r>
        <w:t>Abstract</w:t>
      </w:r>
    </w:p>
    <w:p>
      <w:r>
        <w:t>The purpose of this lab report is to analyze the chemical composition and properties of various cosmetic ingredient mixtures using different analytic techniques. The experiments explored interactions and measurement parameters of diverse mixtures such as Coconut Oil, Almond Oil, and Jojoba Oil with accompanying compounds via Gas Chromatography (GC), Thermocycling, pH Meter, and Nuclear Magnetic Resonance (NMR) Spectroscopy.</w:t>
      </w:r>
    </w:p>
    <w:p>
      <w:r>
        <w:t>Introduction</w:t>
      </w:r>
    </w:p>
    <w:p>
      <w:r>
        <w:t>The cosmetic industry heavily relies on scientific techniques to ensure product safety and efficacy. This study used multiple instruments including a Gas Chromatograph, Thermocycler, pH Meter, and NMR Spectrometer to investigate complex mixtures typically found in cosmetic products.</w:t>
      </w:r>
    </w:p>
    <w:p>
      <w:r>
        <w:t>Materials and Methods</w:t>
      </w:r>
    </w:p>
    <w:p>
      <w:r>
        <w:t>Sample Preparation:</w:t>
      </w:r>
    </w:p>
    <w:p>
      <w:r>
        <w:t>Measurement Tables</w:t>
      </w:r>
    </w:p>
    <w:p>
      <w:r>
        <w:t>Table 1: Gas Chromatography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ID</w:t>
            </w:r>
          </w:p>
        </w:tc>
        <w:tc>
          <w:tcPr>
            <w:tcW w:type="dxa" w:w="2160"/>
          </w:tcPr>
          <w:p>
            <w:pPr>
              <w:jc w:val="center"/>
            </w:pPr>
            <w:r>
              <w:rPr>
                <w:b/>
              </w:rPr>
              <w:t>Instrument</w:t>
            </w:r>
          </w:p>
        </w:tc>
        <w:tc>
          <w:tcPr>
            <w:tcW w:type="dxa" w:w="2160"/>
          </w:tcPr>
          <w:p>
            <w:pPr>
              <w:jc w:val="center"/>
            </w:pPr>
            <w:r>
              <w:rPr>
                <w:b/>
              </w:rPr>
              <w:t>Measured Component</w:t>
            </w:r>
          </w:p>
        </w:tc>
        <w:tc>
          <w:tcPr>
            <w:tcW w:type="dxa" w:w="2160"/>
          </w:tcPr>
          <w:p>
            <w:pPr>
              <w:jc w:val="center"/>
            </w:pPr>
            <w:r>
              <w:rPr>
                <w:b/>
              </w:rPr>
              <w:t>Concentration (ppm)</w:t>
            </w:r>
          </w:p>
        </w:tc>
      </w:tr>
      <w:tr>
        <w:tc>
          <w:tcPr>
            <w:tcW w:type="dxa" w:w="2160"/>
          </w:tcPr>
          <w:p>
            <w:pPr>
              <w:jc w:val="center"/>
            </w:pPr>
            <w:r>
              <w:t>1</w:t>
            </w:r>
          </w:p>
        </w:tc>
        <w:tc>
          <w:tcPr>
            <w:tcW w:type="dxa" w:w="2160"/>
          </w:tcPr>
          <w:p>
            <w:pPr>
              <w:jc w:val="center"/>
            </w:pPr>
            <w:r>
              <w:t>Gas Chromatograph GC-2010</w:t>
            </w:r>
          </w:p>
        </w:tc>
        <w:tc>
          <w:tcPr>
            <w:tcW w:type="dxa" w:w="2160"/>
          </w:tcPr>
          <w:p>
            <w:pPr>
              <w:jc w:val="center"/>
            </w:pPr>
            <w:r>
              <w:t>Cetyl Alcohol</w:t>
            </w:r>
          </w:p>
        </w:tc>
        <w:tc>
          <w:tcPr>
            <w:tcW w:type="dxa" w:w="2160"/>
          </w:tcPr>
          <w:p>
            <w:pPr>
              <w:jc w:val="center"/>
            </w:pPr>
            <w:r>
              <w:t>400</w:t>
            </w:r>
          </w:p>
        </w:tc>
      </w:tr>
      <w:tr>
        <w:tc>
          <w:tcPr>
            <w:tcW w:type="dxa" w:w="2160"/>
          </w:tcPr>
          <w:p>
            <w:pPr>
              <w:jc w:val="center"/>
            </w:pPr>
            <w:r>
              <w:t>6</w:t>
            </w:r>
          </w:p>
        </w:tc>
        <w:tc>
          <w:tcPr>
            <w:tcW w:type="dxa" w:w="2160"/>
          </w:tcPr>
          <w:p>
            <w:pPr>
              <w:jc w:val="center"/>
            </w:pPr>
            <w:r>
              <w:t>Gas Chromatograph GC-2010</w:t>
            </w:r>
          </w:p>
        </w:tc>
        <w:tc>
          <w:tcPr>
            <w:tcW w:type="dxa" w:w="2160"/>
          </w:tcPr>
          <w:p>
            <w:pPr>
              <w:jc w:val="center"/>
            </w:pPr>
            <w:r>
              <w:t>Cetyl Alcohol</w:t>
            </w:r>
          </w:p>
        </w:tc>
        <w:tc>
          <w:tcPr>
            <w:tcW w:type="dxa" w:w="2160"/>
          </w:tcPr>
          <w:p>
            <w:pPr>
              <w:jc w:val="center"/>
            </w:pPr>
            <w:r>
              <w:t>300</w:t>
            </w:r>
          </w:p>
        </w:tc>
      </w:tr>
    </w:tbl>
    <w:p>
      <w:r>
        <w:t>Table 2: Thermocycler Temperature Evaluation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ID</w:t>
            </w:r>
          </w:p>
        </w:tc>
        <w:tc>
          <w:tcPr>
            <w:tcW w:type="dxa" w:w="2160"/>
          </w:tcPr>
          <w:p>
            <w:pPr>
              <w:jc w:val="center"/>
            </w:pPr>
            <w:r>
              <w:rPr>
                <w:b/>
              </w:rPr>
              <w:t>Instrument</w:t>
            </w:r>
          </w:p>
        </w:tc>
        <w:tc>
          <w:tcPr>
            <w:tcW w:type="dxa" w:w="2160"/>
          </w:tcPr>
          <w:p>
            <w:pPr>
              <w:jc w:val="center"/>
            </w:pPr>
            <w:r>
              <w:rPr>
                <w:b/>
              </w:rPr>
              <w:t>Primary Component</w:t>
            </w:r>
          </w:p>
        </w:tc>
        <w:tc>
          <w:tcPr>
            <w:tcW w:type="dxa" w:w="2160"/>
          </w:tcPr>
          <w:p>
            <w:pPr>
              <w:jc w:val="center"/>
            </w:pPr>
            <w:r>
              <w:rPr>
                <w:b/>
              </w:rPr>
              <w:t>Temperature (°C)</w:t>
            </w:r>
          </w:p>
        </w:tc>
      </w:tr>
      <w:tr>
        <w:tc>
          <w:tcPr>
            <w:tcW w:type="dxa" w:w="2160"/>
          </w:tcPr>
          <w:p>
            <w:pPr>
              <w:jc w:val="center"/>
            </w:pPr>
            <w:r>
              <w:t>2</w:t>
            </w:r>
          </w:p>
        </w:tc>
        <w:tc>
          <w:tcPr>
            <w:tcW w:type="dxa" w:w="2160"/>
          </w:tcPr>
          <w:p>
            <w:pPr>
              <w:jc w:val="center"/>
            </w:pPr>
            <w:r>
              <w:t>Thermocycler TC-5000</w:t>
            </w:r>
          </w:p>
        </w:tc>
        <w:tc>
          <w:tcPr>
            <w:tcW w:type="dxa" w:w="2160"/>
          </w:tcPr>
          <w:p>
            <w:pPr>
              <w:jc w:val="center"/>
            </w:pPr>
            <w:r>
              <w:t>Gum</w:t>
            </w:r>
          </w:p>
        </w:tc>
        <w:tc>
          <w:tcPr>
            <w:tcW w:type="dxa" w:w="2160"/>
          </w:tcPr>
          <w:p>
            <w:pPr>
              <w:jc w:val="center"/>
            </w:pPr>
            <w:r>
              <w:t>50</w:t>
            </w:r>
          </w:p>
        </w:tc>
      </w:tr>
      <w:tr>
        <w:tc>
          <w:tcPr>
            <w:tcW w:type="dxa" w:w="2160"/>
          </w:tcPr>
          <w:p>
            <w:pPr>
              <w:jc w:val="center"/>
            </w:pPr>
            <w:r>
              <w:t>7</w:t>
            </w:r>
          </w:p>
        </w:tc>
        <w:tc>
          <w:tcPr>
            <w:tcW w:type="dxa" w:w="2160"/>
          </w:tcPr>
          <w:p>
            <w:pPr>
              <w:jc w:val="center"/>
            </w:pPr>
            <w:r>
              <w:t>Thermocycler TC-5000</w:t>
            </w:r>
          </w:p>
        </w:tc>
        <w:tc>
          <w:tcPr>
            <w:tcW w:type="dxa" w:w="2160"/>
          </w:tcPr>
          <w:p>
            <w:pPr>
              <w:jc w:val="center"/>
            </w:pPr>
            <w:r>
              <w:t>Almond Oil</w:t>
            </w:r>
          </w:p>
        </w:tc>
        <w:tc>
          <w:tcPr>
            <w:tcW w:type="dxa" w:w="2160"/>
          </w:tcPr>
          <w:p>
            <w:pPr>
              <w:jc w:val="center"/>
            </w:pPr>
            <w:r>
              <w:t>45</w:t>
            </w:r>
          </w:p>
        </w:tc>
      </w:tr>
    </w:tbl>
    <w:p>
      <w:r>
        <w:t>Measurement Anomalies:Note that some mixtures such as Mixture 5 were not evaluated using GC due to lack of specific compounds that interact with this instrument.</w:t>
      </w:r>
    </w:p>
    <w:p>
      <w:r>
        <w:t>Results and Discussion</w:t>
      </w:r>
    </w:p>
    <w:p>
      <w:r>
        <w:t>The significance of these results lies within their practical application in product formulation. For instance,Mixture 1showed a high concentration of Cetyl Alcohol (400 ppm), indicating its potential for excellent emulsifying properties. Meanwhile, the optimization ofMixture 7at 45°C using the Thermocycler confirmed its stability across a range of thermal conditions, crucial for maintaining texture consistency in dermatological applications.</w:t>
      </w:r>
    </w:p>
    <w:p>
      <w:r>
        <w:t>The NMR assessment ofMixture 4delivered pivotal insights into the alignment of the molecule structure, confirming a stable isotopic region for the included components. This stability is desirable for maintaining a homogeneous texture in lotions and creams.</w:t>
      </w:r>
    </w:p>
    <w:p>
      <w:r>
        <w:t>In contrast, the pH levels found inMixture 3andMixture 8(7 and 5, respectively) highlight the necessity for careful adjustment of acidity levels to avoid potential skin irritation in sensitive consumers.</w:t>
      </w:r>
    </w:p>
    <w:p>
      <w:r>
        <w:t>Miscellaneous Observations</w:t>
      </w:r>
    </w:p>
    <w:p>
      <w:r>
        <w:t>During the analysis, certain irrelevant colloquial findings were discarded, such as a supposed correlation between mixture pH and ambient room noise levels, which upon review, revealed no substantive scientific basis.</w:t>
      </w:r>
    </w:p>
    <w:p>
      <w:r>
        <w:t>Conclusion</w:t>
      </w:r>
    </w:p>
    <w:p>
      <w:r>
        <w:t>Overall, it is evident that the successful application of varying analytical techniques guides effective formulation in cosmetics. Future studies are advised to explore broader thermal properties overvariable storage conditions to enhance product longevity.</w:t>
      </w:r>
    </w:p>
    <w:p>
      <w:r>
        <w:t>References</w:t>
      </w:r>
    </w:p>
    <w:p>
      <w:r>
        <w:t>Appendices</w:t>
      </w:r>
    </w:p>
    <w:p>
      <w:r>
        <w:t>Notes: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