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Mixture Analysis and Characterization</w:t>
      </w:r>
    </w:p>
    <w:p>
      <w:r>
        <w:t>Introduction</w:t>
      </w:r>
    </w:p>
    <w:p>
      <w:r>
        <w:t>This report documents the detailed analysis and characterization of various oil-based mixtures using sophisticated analytical techniques. Each test sample is a unique combination of ingredients subjected to rigorous testing to determine key physical and chemical properties. The experimentation leverages advanced instruments such as a Thermocycler, X-Ray Diffractometer, and more, to acquire precise data. The studies involved a complex matrix of experiments designed to evaluate the interaction and properties of these ingredients within different chemical environments.</w:t>
      </w:r>
    </w:p>
    <w:p>
      <w:r>
        <w:t>Experimentation and Data Analysis</w:t>
      </w:r>
    </w:p>
    <w:p>
      <w:r>
        <w:t>Sample Preparation</w:t>
      </w:r>
    </w:p>
    <w:p>
      <w:r>
        <w:t>The samples were carefully prepared by combining specified oils with other ingredients in precise ratios. The constituents were thoroughly mixed to ensure homogeneity before being subjected to various instrumental analyses.</w:t>
      </w:r>
    </w:p>
    <w:p>
      <w:r>
        <w:t>Instrumentation</w:t>
      </w:r>
    </w:p>
    <w:p>
      <w:r>
        <w:t>The key instruments used in the analyses are tabulated below, alongside the properties they measured:</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Properties Measured</w:t>
            </w:r>
          </w:p>
        </w:tc>
        <w:tc>
          <w:tcPr>
            <w:tcW w:type="dxa" w:w="2880"/>
          </w:tcPr>
          <w:p>
            <w:pPr>
              <w:jc w:val="center"/>
            </w:pPr>
            <w:r>
              <w:rPr>
                <w:b/>
              </w:rPr>
              <w:t>Sample ID</w:t>
            </w:r>
          </w:p>
        </w:tc>
      </w:tr>
      <w:tr>
        <w:tc>
          <w:tcPr>
            <w:tcW w:type="dxa" w:w="2880"/>
          </w:tcPr>
          <w:p>
            <w:pPr>
              <w:jc w:val="center"/>
            </w:pPr>
            <w:r>
              <w:t>Thermocycler TC-5000</w:t>
            </w:r>
          </w:p>
        </w:tc>
        <w:tc>
          <w:tcPr>
            <w:tcW w:type="dxa" w:w="2880"/>
          </w:tcPr>
          <w:p>
            <w:pPr>
              <w:jc w:val="center"/>
            </w:pPr>
            <w:r>
              <w:t>Thermal Property</w:t>
            </w:r>
          </w:p>
        </w:tc>
        <w:tc>
          <w:tcPr>
            <w:tcW w:type="dxa" w:w="2880"/>
          </w:tcPr>
          <w:p>
            <w:pPr>
              <w:jc w:val="center"/>
            </w:pPr>
            <w:r>
              <w:t>S1</w:t>
            </w:r>
          </w:p>
        </w:tc>
      </w:tr>
      <w:tr>
        <w:tc>
          <w:tcPr>
            <w:tcW w:type="dxa" w:w="2880"/>
          </w:tcPr>
          <w:p>
            <w:pPr>
              <w:jc w:val="center"/>
            </w:pPr>
            <w:r>
              <w:t>X-Ray Diffractometer XRD-6000</w:t>
            </w:r>
          </w:p>
        </w:tc>
        <w:tc>
          <w:tcPr>
            <w:tcW w:type="dxa" w:w="2880"/>
          </w:tcPr>
          <w:p>
            <w:pPr>
              <w:jc w:val="center"/>
            </w:pPr>
            <w:r>
              <w:t>Crystal Structure</w:t>
            </w:r>
          </w:p>
        </w:tc>
        <w:tc>
          <w:tcPr>
            <w:tcW w:type="dxa" w:w="2880"/>
          </w:tcPr>
          <w:p>
            <w:pPr>
              <w:jc w:val="center"/>
            </w:pPr>
            <w:r>
              <w:t>S2</w:t>
            </w:r>
          </w:p>
        </w:tc>
      </w:tr>
      <w:tr>
        <w:tc>
          <w:tcPr>
            <w:tcW w:type="dxa" w:w="2880"/>
          </w:tcPr>
          <w:p>
            <w:pPr>
              <w:jc w:val="center"/>
            </w:pPr>
            <w:r>
              <w:t>Four Ball FB-1000</w:t>
            </w:r>
          </w:p>
        </w:tc>
        <w:tc>
          <w:tcPr>
            <w:tcW w:type="dxa" w:w="2880"/>
          </w:tcPr>
          <w:p>
            <w:pPr>
              <w:jc w:val="center"/>
            </w:pPr>
            <w:r>
              <w:t>Wear Resistance</w:t>
            </w:r>
          </w:p>
        </w:tc>
        <w:tc>
          <w:tcPr>
            <w:tcW w:type="dxa" w:w="2880"/>
          </w:tcPr>
          <w:p>
            <w:pPr>
              <w:jc w:val="center"/>
            </w:pPr>
            <w:r>
              <w:t>S3</w:t>
            </w:r>
          </w:p>
        </w:tc>
      </w:tr>
      <w:tr>
        <w:tc>
          <w:tcPr>
            <w:tcW w:type="dxa" w:w="2880"/>
          </w:tcPr>
          <w:p>
            <w:pPr>
              <w:jc w:val="center"/>
            </w:pPr>
            <w:r>
              <w:t>NMR Spectrometer NMR-500</w:t>
            </w:r>
          </w:p>
        </w:tc>
        <w:tc>
          <w:tcPr>
            <w:tcW w:type="dxa" w:w="2880"/>
          </w:tcPr>
          <w:p>
            <w:pPr>
              <w:jc w:val="center"/>
            </w:pPr>
            <w:r>
              <w:t>Chemical Shifts</w:t>
            </w:r>
          </w:p>
        </w:tc>
        <w:tc>
          <w:tcPr>
            <w:tcW w:type="dxa" w:w="2880"/>
          </w:tcPr>
          <w:p>
            <w:pPr>
              <w:jc w:val="center"/>
            </w:pPr>
            <w:r>
              <w:t>S4</w:t>
            </w:r>
          </w:p>
        </w:tc>
      </w:tr>
      <w:tr>
        <w:tc>
          <w:tcPr>
            <w:tcW w:type="dxa" w:w="2880"/>
          </w:tcPr>
          <w:p>
            <w:pPr>
              <w:jc w:val="center"/>
            </w:pPr>
            <w:r>
              <w:t>Titrator T-905</w:t>
            </w:r>
          </w:p>
        </w:tc>
        <w:tc>
          <w:tcPr>
            <w:tcW w:type="dxa" w:w="2880"/>
          </w:tcPr>
          <w:p>
            <w:pPr>
              <w:jc w:val="center"/>
            </w:pPr>
            <w:r>
              <w:t>Molar Concentration</w:t>
            </w:r>
          </w:p>
        </w:tc>
        <w:tc>
          <w:tcPr>
            <w:tcW w:type="dxa" w:w="2880"/>
          </w:tcPr>
          <w:p>
            <w:pPr>
              <w:jc w:val="center"/>
            </w:pPr>
            <w:r>
              <w:t>S5</w:t>
            </w:r>
          </w:p>
        </w:tc>
      </w:tr>
      <w:tr>
        <w:tc>
          <w:tcPr>
            <w:tcW w:type="dxa" w:w="2880"/>
          </w:tcPr>
          <w:p>
            <w:pPr>
              <w:jc w:val="center"/>
            </w:pPr>
            <w:r>
              <w:t>pH Meter PH-700</w:t>
            </w:r>
          </w:p>
        </w:tc>
        <w:tc>
          <w:tcPr>
            <w:tcW w:type="dxa" w:w="2880"/>
          </w:tcPr>
          <w:p>
            <w:pPr>
              <w:jc w:val="center"/>
            </w:pPr>
            <w:r>
              <w:t>pH Level</w:t>
            </w:r>
          </w:p>
        </w:tc>
        <w:tc>
          <w:tcPr>
            <w:tcW w:type="dxa" w:w="2880"/>
          </w:tcPr>
          <w:p>
            <w:pPr>
              <w:jc w:val="center"/>
            </w:pPr>
            <w:r>
              <w:t>S6</w:t>
            </w:r>
          </w:p>
        </w:tc>
      </w:tr>
      <w:tr>
        <w:tc>
          <w:tcPr>
            <w:tcW w:type="dxa" w:w="2880"/>
          </w:tcPr>
          <w:p>
            <w:pPr>
              <w:jc w:val="center"/>
            </w:pPr>
            <w:r>
              <w:t>Viscometer VS-300</w:t>
            </w:r>
          </w:p>
        </w:tc>
        <w:tc>
          <w:tcPr>
            <w:tcW w:type="dxa" w:w="2880"/>
          </w:tcPr>
          <w:p>
            <w:pPr>
              <w:jc w:val="center"/>
            </w:pPr>
            <w:r>
              <w:t>Viscosity</w:t>
            </w:r>
          </w:p>
        </w:tc>
        <w:tc>
          <w:tcPr>
            <w:tcW w:type="dxa" w:w="2880"/>
          </w:tcPr>
          <w:p>
            <w:pPr>
              <w:jc w:val="center"/>
            </w:pPr>
            <w:r>
              <w:t>S7-S9</w:t>
            </w:r>
          </w:p>
        </w:tc>
      </w:tr>
    </w:tbl>
    <w:p>
      <w:r>
        <w:t>Observations and Measurements</w:t>
      </w:r>
    </w:p>
    <w:p>
      <w:r>
        <w:t>Each experiment yielded specific observations, indicated in the following descriptions. Observations were primarily centered around the interactions among the oil components and fatty substances, shedding light on various rheological and chemical properties.</w:t>
      </w:r>
    </w:p>
    <w:p>
      <w:r>
        <w:t>Thermal Characterization</w:t>
      </w:r>
    </w:p>
    <w:p>
      <w:r>
        <w:t>The sample comprising Almond Oil, Jojoba Oil, and Gum demonstrated significant thermostability at 78°C according to the Thermocycler TC-5000. This temperature indicates potential applications in heat-sensitive formulations.</w:t>
      </w:r>
    </w:p>
    <w:p>
      <w:r>
        <w:t>Crystal Structure Analysis</w:t>
      </w:r>
    </w:p>
    <w:p>
      <w:r>
        <w:t>Using the X-Ray Diffractometer XRD-6000, the mixture of Coconut Oil, Beeswax, and Glycerin exhibited a peak at 134°C, hinting at a robust crystallinity suitable for potential cosmetic applications.</w:t>
      </w:r>
    </w:p>
    <w:p>
      <w:r>
        <w:t>Chemical Shift Analysis</w:t>
      </w:r>
    </w:p>
    <w:p>
      <w:r>
        <w:t>NMR analysis of Jojoba Oil and Vitamin E showcased a notable peak at 15 ppm. Such spectral data imply a strong hydrogen bonding interaction in the molecular framework.</w:t>
      </w:r>
    </w:p>
    <w:p>
      <w:r>
        <w:t>Viscosity Measurements</w:t>
      </w:r>
    </w:p>
    <w:p>
      <w:r>
        <w:t>Different combinations of ingredients exhibited a wide range of viscosities, as seen below:</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 (Oil, Additive)</w:t>
            </w:r>
          </w:p>
        </w:tc>
        <w:tc>
          <w:tcPr>
            <w:tcW w:type="dxa" w:w="4320"/>
          </w:tcPr>
          <w:p>
            <w:pPr>
              <w:jc w:val="center"/>
            </w:pPr>
            <w:r>
              <w:rPr>
                <w:b/>
              </w:rPr>
              <w:t>Viscosity (cP)</w:t>
            </w:r>
          </w:p>
        </w:tc>
      </w:tr>
      <w:tr>
        <w:tc>
          <w:tcPr>
            <w:tcW w:type="dxa" w:w="4320"/>
          </w:tcPr>
          <w:p>
            <w:pPr>
              <w:jc w:val="center"/>
            </w:pPr>
            <w:r>
              <w:t>Almond Oil, Cetyl Alcohol</w:t>
            </w:r>
          </w:p>
        </w:tc>
        <w:tc>
          <w:tcPr>
            <w:tcW w:type="dxa" w:w="4320"/>
          </w:tcPr>
          <w:p>
            <w:pPr>
              <w:jc w:val="center"/>
            </w:pPr>
            <w:r>
              <w:t>7103.31</w:t>
            </w:r>
          </w:p>
        </w:tc>
      </w:tr>
      <w:tr>
        <w:tc>
          <w:tcPr>
            <w:tcW w:type="dxa" w:w="4320"/>
          </w:tcPr>
          <w:p>
            <w:pPr>
              <w:jc w:val="center"/>
            </w:pPr>
            <w:r>
              <w:t>Almond Oil, Gum</w:t>
            </w:r>
          </w:p>
        </w:tc>
        <w:tc>
          <w:tcPr>
            <w:tcW w:type="dxa" w:w="4320"/>
          </w:tcPr>
          <w:p>
            <w:pPr>
              <w:jc w:val="center"/>
            </w:pPr>
            <w:r>
              <w:t>7615.44</w:t>
            </w:r>
          </w:p>
        </w:tc>
      </w:tr>
      <w:tr>
        <w:tc>
          <w:tcPr>
            <w:tcW w:type="dxa" w:w="4320"/>
          </w:tcPr>
          <w:p>
            <w:pPr>
              <w:jc w:val="center"/>
            </w:pPr>
            <w:r>
              <w:t>Almond Oil, Glycerin</w:t>
            </w:r>
          </w:p>
        </w:tc>
        <w:tc>
          <w:tcPr>
            <w:tcW w:type="dxa" w:w="4320"/>
          </w:tcPr>
          <w:p>
            <w:pPr>
              <w:jc w:val="center"/>
            </w:pPr>
            <w:r>
              <w:t>7662.09</w:t>
            </w:r>
          </w:p>
        </w:tc>
      </w:tr>
    </w:tbl>
    <w:p>
      <w:r>
        <w:t>These findings suggest that the interplay between oil type and ancillary chemical significantly alters the fluid dynamics, affecting the performance property of the formulation.</w:t>
      </w:r>
    </w:p>
    <w:p>
      <w:r>
        <w:t>Additional Chemical Properties</w:t>
      </w:r>
    </w:p>
    <w:p>
      <w:r>
        <w:t>The following table includes ancillary data from related experiments: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pH Level</w:t>
            </w:r>
          </w:p>
        </w:tc>
        <w:tc>
          <w:tcPr>
            <w:tcW w:type="dxa" w:w="2880"/>
          </w:tcPr>
          <w:p>
            <w:pPr>
              <w:jc w:val="center"/>
            </w:pPr>
            <w:r>
              <w:rPr>
                <w:b/>
              </w:rPr>
              <w:t>Molar Concentration (M)</w:t>
            </w:r>
          </w:p>
        </w:tc>
      </w:tr>
      <w:tr>
        <w:tc>
          <w:tcPr>
            <w:tcW w:type="dxa" w:w="2880"/>
          </w:tcPr>
          <w:p>
            <w:pPr>
              <w:jc w:val="center"/>
            </w:pPr>
            <w:r>
              <w:t>Jojoba Oil, Beeswax, Vitamin E</w:t>
            </w:r>
          </w:p>
        </w:tc>
        <w:tc>
          <w:tcPr>
            <w:tcW w:type="dxa" w:w="2880"/>
          </w:tcPr>
          <w:p>
            <w:pPr>
              <w:jc w:val="center"/>
            </w:pPr>
            <w:r>
              <w:t>7.0</w:t>
            </w:r>
          </w:p>
        </w:tc>
        <w:tc>
          <w:tcPr>
            <w:tcW w:type="dxa" w:w="2880"/>
          </w:tcPr>
          <w:p>
            <w:pPr>
              <w:jc w:val="center"/>
            </w:pPr>
            <w:r>
              <w:t>nan</w:t>
            </w:r>
          </w:p>
        </w:tc>
      </w:tr>
      <w:tr>
        <w:tc>
          <w:tcPr>
            <w:tcW w:type="dxa" w:w="2880"/>
          </w:tcPr>
          <w:p>
            <w:pPr>
              <w:jc w:val="center"/>
            </w:pPr>
            <w:r>
              <w:t>Coconut Oil, Cetyl Alcohol, Vitamin E</w:t>
            </w:r>
          </w:p>
        </w:tc>
        <w:tc>
          <w:tcPr>
            <w:tcW w:type="dxa" w:w="2880"/>
          </w:tcPr>
          <w:p>
            <w:pPr>
              <w:jc w:val="center"/>
            </w:pPr>
            <w:r>
              <w:t>nan</w:t>
            </w:r>
          </w:p>
        </w:tc>
        <w:tc>
          <w:tcPr>
            <w:tcW w:type="dxa" w:w="2880"/>
          </w:tcPr>
          <w:p>
            <w:pPr>
              <w:jc w:val="center"/>
            </w:pPr>
            <w:r>
              <w:t>0.055</w:t>
            </w:r>
          </w:p>
        </w:tc>
      </w:tr>
    </w:tbl>
    <w:p>
      <w:r>
        <w:t>Results and Discussions</w:t>
      </w:r>
    </w:p>
    <w:p>
      <w:r>
        <w:t>The data culminates in a complex depiction of chemical interactions. The thermal and crystalline tests highlight the capabilities of using beeswax and glycerin to enhance product stability and structural firmness. Wear resistance analysis further underscores the lubricative potential of these mixtures for industrial applications.</w:t>
      </w:r>
    </w:p>
    <w:p>
      <w:r>
        <w:t>Conversely, studies of viscosity demonstrate that additives like Cetyl Alcohol modulate flow properties, influencing end-use applications ranging from cosmetics to pharmaceuticals. The neutral pH observed across most samples corroborates their suitability for direct application on sensitive skin without irritation.</w:t>
      </w:r>
    </w:p>
    <w:p>
      <w:r>
        <w:t>Conclusion</w:t>
      </w:r>
    </w:p>
    <w:p>
      <w:r>
        <w:t>Analyzing the array of results provides profound insights into the interplay of oils and chemical additives. Buttressed by empirical measurements from instruments like the Viscometer and NMR Spectrometer, these findings underscore the importance of precise formulation in achieving desired performance attributes.</w:t>
      </w:r>
    </w:p>
    <w:p>
      <w:r>
        <w:t>This lab report encapsulates an exhaustive examination and brings to the fore the critical relationship between component arrangement in oil-based systems and their functional properties, heralding potential innovations in formulation science.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