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w:t>
      </w:r>
    </w:p>
    <w:p>
      <w:r>
        <w:t>Report ID:822Date:2023-10-21Research Team:Advanced Material Analysis GroupLab Location:State-of-the-Art Chemical Laboratories</w:t>
      </w:r>
    </w:p>
    <w:p>
      <w:r>
        <w:t>Objective</w:t>
      </w:r>
    </w:p>
    <w:p>
      <w:r>
        <w:t>The aim of this lab report is to analyze various mixtures through different advanced instrumentation techniques to evaluate their physicochemical properties. Each set of ingredients is treated as a unique test sample.</w:t>
      </w:r>
    </w:p>
    <w:p>
      <w:r>
        <w:t>Instruments Utilized</w:t>
      </w:r>
    </w:p>
    <w:p>
      <w:r>
        <w:t>The following instruments were employed during this study:</w:t>
      </w:r>
    </w:p>
    <w:p>
      <w:r>
        <w:t>Experimental Methodology</w:t>
      </w:r>
    </w:p>
    <w:p>
      <w:r>
        <w:t>Each group of ingredients was mixed in a controlled environment and subjected to various tests. The experimental setups involved controlled temperatures, precise calibration of instruments, and strict adherence to operational protocols.</w:t>
      </w:r>
    </w:p>
    <w:p>
      <w:r>
        <w:t>Observations and Results</w:t>
      </w:r>
    </w:p>
    <w:p>
      <w:r>
        <w:t>1. Jojoba Oil, Cetyl Alcohol</w:t>
      </w:r>
    </w:p>
    <w:p>
      <w:r>
        <w:t>Test 1: Ion Chromatograph (IC-2100)Observation:The mixture exhibited moderate ion exchange activity.Measurement:55.432 mMCommentary:The measured ionic concentration suggests potential use in formulation requiring controlled viscosity.</w:t>
      </w:r>
    </w:p>
    <w:p>
      <w:r>
        <w:t>Test 2: PCR Machine (PCR-96)Observation:The mixture stabilized at a count threshold.Measurement:25.3 CtCommentary:Indicates thermal stability and consistent emulsification.</w:t>
      </w:r>
    </w:p>
    <w:p>
      <w:r>
        <w:t>Test 3: NMR Spectrometer (NMR-500)Observation:Resonance peaks were observed at defined shifts.Measurement:6.83 ppmCommentary:The chemical shift is characteristic of the hydrophobic moieties in Jojoba Oil.</w:t>
      </w:r>
    </w:p>
    <w:p>
      <w:r>
        <w:t>2. Coconut Oil, Gum, Glycerin</w:t>
      </w:r>
    </w:p>
    <w:p>
      <w:r>
        <w:t>Test 1: Conductivity Meter (CM-215)Observation:Electrical conductance showcased richness in electrolytic components.Measurement:1500.75 uS/cmCommentary:High conductivity aligns with the presence of electrolytes that augment moisture retention.</w:t>
      </w:r>
    </w:p>
    <w:p>
      <w:r>
        <w:t>Test 2: X-Ray Diffractometer (XRD-6000)Observation:Diffractive crystallization is noted.Measurement:120 °CCommentary:Transition temperature confirms crystalline integrity.</w:t>
      </w:r>
    </w:p>
    <w:p>
      <w:r>
        <w:t>3. Almond Oil, Glycerin</w:t>
      </w:r>
    </w:p>
    <w:p>
      <w:r>
        <w:t>Test: Four Ball Tester (FB-1000)Observation:Wear scar diameter indicates superior lubricative property.Measurement:0.653 mmCommentary:Enhanced tribological performance suggests usage in lubrication formulations.</w:t>
      </w:r>
    </w:p>
    <w:p>
      <w:r>
        <w:t>Test: FTIR Spectrometer (FTIR-8400)Observation:Spectrum analysis displays primary functional groups.Measurement:1450 1/cmCommentary:The absorbance bands correlate with ester linkages enhancing smooth application.</w:t>
      </w:r>
    </w:p>
    <w:p>
      <w:r>
        <w:t>Test: Spectrometer (Alpha-300)Observation:Optical absorbance demonstrated consistency across the spectrum.Measurement:450 nmCommentary:Visible light absorption is indicative of antioxidant potential.</w:t>
      </w:r>
    </w:p>
    <w:p>
      <w:r>
        <w:t>Data Tables</w:t>
      </w:r>
    </w:p>
    <w:p>
      <w:r>
        <w:t>Table 1: Ion Parameters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Jojoba Oil, Cetyl Alcohol</w:t>
            </w:r>
          </w:p>
        </w:tc>
        <w:tc>
          <w:tcPr>
            <w:tcW w:type="dxa" w:w="2160"/>
          </w:tcPr>
          <w:p>
            <w:pPr>
              <w:jc w:val="center"/>
            </w:pPr>
            <w:r>
              <w:t>IC-2100</w:t>
            </w:r>
          </w:p>
        </w:tc>
        <w:tc>
          <w:tcPr>
            <w:tcW w:type="dxa" w:w="2160"/>
          </w:tcPr>
          <w:p>
            <w:pPr>
              <w:jc w:val="center"/>
            </w:pPr>
            <w:r>
              <w:t>55.432</w:t>
            </w:r>
          </w:p>
        </w:tc>
        <w:tc>
          <w:tcPr>
            <w:tcW w:type="dxa" w:w="2160"/>
          </w:tcPr>
          <w:p>
            <w:pPr>
              <w:jc w:val="center"/>
            </w:pPr>
            <w:r>
              <w:t>mM</w:t>
            </w:r>
          </w:p>
        </w:tc>
      </w:tr>
      <w:tr>
        <w:tc>
          <w:tcPr>
            <w:tcW w:type="dxa" w:w="2160"/>
          </w:tcPr>
          <w:p>
            <w:pPr>
              <w:jc w:val="center"/>
            </w:pPr>
            <w:r>
              <w:t>Coconut Oil, Gum, Glycerin</w:t>
            </w:r>
          </w:p>
        </w:tc>
        <w:tc>
          <w:tcPr>
            <w:tcW w:type="dxa" w:w="2160"/>
          </w:tcPr>
          <w:p>
            <w:pPr>
              <w:jc w:val="center"/>
            </w:pPr>
            <w:r>
              <w:t>CM-215</w:t>
            </w:r>
          </w:p>
        </w:tc>
        <w:tc>
          <w:tcPr>
            <w:tcW w:type="dxa" w:w="2160"/>
          </w:tcPr>
          <w:p>
            <w:pPr>
              <w:jc w:val="center"/>
            </w:pPr>
            <w:r>
              <w:t>1500.75</w:t>
            </w:r>
          </w:p>
        </w:tc>
        <w:tc>
          <w:tcPr>
            <w:tcW w:type="dxa" w:w="2160"/>
          </w:tcPr>
          <w:p>
            <w:pPr>
              <w:jc w:val="center"/>
            </w:pPr>
            <w:r>
              <w:t>uS/cm</w:t>
            </w:r>
          </w:p>
        </w:tc>
      </w:tr>
    </w:tbl>
    <w:p>
      <w:r>
        <w:t>Table 2: Structural and Conductive Properties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Jojoba Oil, Cetyl Alcohol</w:t>
            </w:r>
          </w:p>
        </w:tc>
        <w:tc>
          <w:tcPr>
            <w:tcW w:type="dxa" w:w="2160"/>
          </w:tcPr>
          <w:p>
            <w:pPr>
              <w:jc w:val="center"/>
            </w:pPr>
            <w:r>
              <w:t>PCR-96</w:t>
            </w:r>
          </w:p>
        </w:tc>
        <w:tc>
          <w:tcPr>
            <w:tcW w:type="dxa" w:w="2160"/>
          </w:tcPr>
          <w:p>
            <w:pPr>
              <w:jc w:val="center"/>
            </w:pPr>
            <w:r>
              <w:t>25.3</w:t>
            </w:r>
          </w:p>
        </w:tc>
        <w:tc>
          <w:tcPr>
            <w:tcW w:type="dxa" w:w="2160"/>
          </w:tcPr>
          <w:p>
            <w:pPr>
              <w:jc w:val="center"/>
            </w:pPr>
            <w:r>
              <w:t>Ct</w:t>
            </w:r>
          </w:p>
        </w:tc>
      </w:tr>
      <w:tr>
        <w:tc>
          <w:tcPr>
            <w:tcW w:type="dxa" w:w="2160"/>
          </w:tcPr>
          <w:p>
            <w:pPr>
              <w:jc w:val="center"/>
            </w:pPr>
            <w:r>
              <w:t>Almond Oil, Glycerin</w:t>
            </w:r>
          </w:p>
        </w:tc>
        <w:tc>
          <w:tcPr>
            <w:tcW w:type="dxa" w:w="2160"/>
          </w:tcPr>
          <w:p>
            <w:pPr>
              <w:jc w:val="center"/>
            </w:pPr>
            <w:r>
              <w:t>FB-1000</w:t>
            </w:r>
          </w:p>
        </w:tc>
        <w:tc>
          <w:tcPr>
            <w:tcW w:type="dxa" w:w="2160"/>
          </w:tcPr>
          <w:p>
            <w:pPr>
              <w:jc w:val="center"/>
            </w:pPr>
            <w:r>
              <w:t>0.653</w:t>
            </w:r>
          </w:p>
        </w:tc>
        <w:tc>
          <w:tcPr>
            <w:tcW w:type="dxa" w:w="2160"/>
          </w:tcPr>
          <w:p>
            <w:pPr>
              <w:jc w:val="center"/>
            </w:pPr>
            <w:r>
              <w:t>mm</w:t>
            </w:r>
          </w:p>
        </w:tc>
      </w:tr>
      <w:tr>
        <w:tc>
          <w:tcPr>
            <w:tcW w:type="dxa" w:w="2160"/>
          </w:tcPr>
          <w:p>
            <w:pPr>
              <w:jc w:val="center"/>
            </w:pPr>
            <w:r>
              <w:t>Almond Oil, Gum, Glycerin</w:t>
            </w:r>
          </w:p>
        </w:tc>
        <w:tc>
          <w:tcPr>
            <w:tcW w:type="dxa" w:w="2160"/>
          </w:tcPr>
          <w:p>
            <w:pPr>
              <w:jc w:val="center"/>
            </w:pPr>
            <w:r>
              <w:t>FTIR-8400</w:t>
            </w:r>
          </w:p>
        </w:tc>
        <w:tc>
          <w:tcPr>
            <w:tcW w:type="dxa" w:w="2160"/>
          </w:tcPr>
          <w:p>
            <w:pPr>
              <w:jc w:val="center"/>
            </w:pPr>
            <w:r>
              <w:t>1450.0</w:t>
            </w:r>
          </w:p>
        </w:tc>
        <w:tc>
          <w:tcPr>
            <w:tcW w:type="dxa" w:w="2160"/>
          </w:tcPr>
          <w:p>
            <w:pPr>
              <w:jc w:val="center"/>
            </w:pPr>
            <w:r>
              <w:t>1/cm</w:t>
            </w:r>
          </w:p>
        </w:tc>
      </w:tr>
      <w:tr>
        <w:tc>
          <w:tcPr>
            <w:tcW w:type="dxa" w:w="2160"/>
          </w:tcPr>
          <w:p>
            <w:pPr>
              <w:jc w:val="center"/>
            </w:pPr>
            <w:r>
              <w:t>Coconut Oil, Gum</w:t>
            </w:r>
          </w:p>
        </w:tc>
        <w:tc>
          <w:tcPr>
            <w:tcW w:type="dxa" w:w="2160"/>
          </w:tcPr>
          <w:p>
            <w:pPr>
              <w:jc w:val="center"/>
            </w:pPr>
            <w:r>
              <w:t>XRD-6000</w:t>
            </w:r>
          </w:p>
        </w:tc>
        <w:tc>
          <w:tcPr>
            <w:tcW w:type="dxa" w:w="2160"/>
          </w:tcPr>
          <w:p>
            <w:pPr>
              <w:jc w:val="center"/>
            </w:pPr>
            <w:r>
              <w:t>120.0</w:t>
            </w:r>
          </w:p>
        </w:tc>
        <w:tc>
          <w:tcPr>
            <w:tcW w:type="dxa" w:w="2160"/>
          </w:tcPr>
          <w:p>
            <w:pPr>
              <w:jc w:val="center"/>
            </w:pPr>
            <w:r>
              <w:t>°C</w:t>
            </w:r>
          </w:p>
        </w:tc>
      </w:tr>
    </w:tbl>
    <w:p>
      <w:r>
        <w:t>Table 3: Spectral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Jojoba Oil, Cetyl Alcohol</w:t>
            </w:r>
          </w:p>
        </w:tc>
        <w:tc>
          <w:tcPr>
            <w:tcW w:type="dxa" w:w="2160"/>
          </w:tcPr>
          <w:p>
            <w:pPr>
              <w:jc w:val="center"/>
            </w:pPr>
            <w:r>
              <w:t>NMR-500</w:t>
            </w:r>
          </w:p>
        </w:tc>
        <w:tc>
          <w:tcPr>
            <w:tcW w:type="dxa" w:w="2160"/>
          </w:tcPr>
          <w:p>
            <w:pPr>
              <w:jc w:val="center"/>
            </w:pPr>
            <w:r>
              <w:t>6.83</w:t>
            </w:r>
          </w:p>
        </w:tc>
        <w:tc>
          <w:tcPr>
            <w:tcW w:type="dxa" w:w="2160"/>
          </w:tcPr>
          <w:p>
            <w:pPr>
              <w:jc w:val="center"/>
            </w:pPr>
            <w:r>
              <w:t>ppm</w:t>
            </w:r>
          </w:p>
        </w:tc>
      </w:tr>
      <w:tr>
        <w:tc>
          <w:tcPr>
            <w:tcW w:type="dxa" w:w="2160"/>
          </w:tcPr>
          <w:p>
            <w:pPr>
              <w:jc w:val="center"/>
            </w:pPr>
            <w:r>
              <w:t>Almond Oil</w:t>
            </w:r>
          </w:p>
        </w:tc>
        <w:tc>
          <w:tcPr>
            <w:tcW w:type="dxa" w:w="2160"/>
          </w:tcPr>
          <w:p>
            <w:pPr>
              <w:jc w:val="center"/>
            </w:pPr>
            <w:r>
              <w:t>Alpha-300</w:t>
            </w:r>
          </w:p>
        </w:tc>
        <w:tc>
          <w:tcPr>
            <w:tcW w:type="dxa" w:w="2160"/>
          </w:tcPr>
          <w:p>
            <w:pPr>
              <w:jc w:val="center"/>
            </w:pPr>
            <w:r>
              <w:t>450.0</w:t>
            </w:r>
          </w:p>
        </w:tc>
        <w:tc>
          <w:tcPr>
            <w:tcW w:type="dxa" w:w="2160"/>
          </w:tcPr>
          <w:p>
            <w:pPr>
              <w:jc w:val="center"/>
            </w:pPr>
            <w:r>
              <w:t>nm</w:t>
            </w:r>
          </w:p>
        </w:tc>
      </w:tr>
    </w:tbl>
    <w:p>
      <w:r>
        <w:t>Conclusion</w:t>
      </w:r>
    </w:p>
    <w:p>
      <w:r>
        <w:t>The experimental analysis provided insightful data on each sample's properties. The ion concentration, conductivity, thermal stability, and optical properties depict varied applications of these mixtures in industrial formulations. Further exploratory studies could elucidate their full potential.</w:t>
      </w:r>
    </w:p>
    <w:p>
      <w:r>
        <w:t>Note:Irrelevant data such as environmental temperature fluctuation readings, anomalous electronic noise artefacts, and auxiliary probe calibrations were excluded from the core analysis to streamline result interpretation.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