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Analysis of Test Samples</w:t>
      </w:r>
    </w:p>
    <w:p>
      <w:r>
        <w:t>Introduction</w:t>
      </w:r>
    </w:p>
    <w:p>
      <w:r>
        <w:t>In this comprehensive study, various test samples composed of coconut oil and almond oil mixtures were evaluated using different analytical techniques. Each test involved a specific combination of components, such as cetyl alcohol, glycerin, and vitamin E, which were subjected to distinct analytical systems. The goal was to derive critical measurements and observations pertinent to the components' interactions and properties.</w:t>
      </w:r>
    </w:p>
    <w:p>
      <w:r>
        <w:t>Materials and Methods</w:t>
      </w:r>
    </w:p>
    <w:p>
      <w:r>
        <w:t>The investigation was conducted using a diverse array of advanced instrumentation, including:</w:t>
        <w:br/>
        <w:t>-Gas Chromatograph (GC-2010)-HPLC System (HPLC-9000)-Titrator (T-905)-X-Ray Diffractometer (XRD-6000)-Thermocycler (TC-5000)-Viscometer (VS-300)</w:t>
      </w:r>
    </w:p>
    <w:p>
      <w:r>
        <w:t>Each analytical method was tailored to elucidate specific characteristics of the mixtures, with the choice of equipment influenced by the target analytes.</w:t>
      </w:r>
    </w:p>
    <w:p>
      <w:r>
        <w:t>Results and Discussion</w:t>
      </w:r>
    </w:p>
    <w:p>
      <w:r>
        <w:t>Table 1: Gas Chromatography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 Constituents</w:t>
            </w:r>
          </w:p>
        </w:tc>
        <w:tc>
          <w:tcPr>
            <w:tcW w:type="dxa" w:w="1440"/>
          </w:tcPr>
          <w:p>
            <w:pPr>
              <w:jc w:val="center"/>
            </w:pPr>
            <w:r>
              <w:rPr>
                <w:b/>
              </w:rPr>
              <w:t>Analyte</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823</w:t>
            </w:r>
          </w:p>
        </w:tc>
        <w:tc>
          <w:tcPr>
            <w:tcW w:type="dxa" w:w="1440"/>
          </w:tcPr>
          <w:p>
            <w:pPr>
              <w:jc w:val="center"/>
            </w:pPr>
            <w:r>
              <w:t>GC-2010</w:t>
            </w:r>
          </w:p>
        </w:tc>
        <w:tc>
          <w:tcPr>
            <w:tcW w:type="dxa" w:w="1440"/>
          </w:tcPr>
          <w:p>
            <w:pPr>
              <w:jc w:val="center"/>
            </w:pPr>
            <w:r>
              <w:t>Coconut Oil, Cetyl Alcohol, Glycerin</w:t>
            </w:r>
          </w:p>
        </w:tc>
        <w:tc>
          <w:tcPr>
            <w:tcW w:type="dxa" w:w="1440"/>
          </w:tcPr>
          <w:p>
            <w:pPr>
              <w:jc w:val="center"/>
            </w:pPr>
            <w:r>
              <w:t>Cetyl Alcohol</w:t>
            </w:r>
          </w:p>
        </w:tc>
        <w:tc>
          <w:tcPr>
            <w:tcW w:type="dxa" w:w="1440"/>
          </w:tcPr>
          <w:p>
            <w:pPr>
              <w:jc w:val="center"/>
            </w:pPr>
            <w:r>
              <w:t>450</w:t>
            </w:r>
          </w:p>
        </w:tc>
        <w:tc>
          <w:tcPr>
            <w:tcW w:type="dxa" w:w="1440"/>
          </w:tcPr>
          <w:p>
            <w:pPr>
              <w:jc w:val="center"/>
            </w:pPr>
            <w:r>
              <w:t>ppm</w:t>
            </w:r>
          </w:p>
        </w:tc>
      </w:tr>
    </w:tbl>
    <w:p>
      <w:r>
        <w:t>The GC-2010 revealed cetyl alcohol presence at 450 ppm, suggesting a homogeneous distribution within the coconut oil matrix. The precision of the detection affirms the suitability of gas chromatography for volatile compound assessment.</w:t>
      </w:r>
    </w:p>
    <w:p>
      <w:r>
        <w:t>Table 2: HPLC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 Constituents</w:t>
            </w:r>
          </w:p>
        </w:tc>
        <w:tc>
          <w:tcPr>
            <w:tcW w:type="dxa" w:w="1440"/>
          </w:tcPr>
          <w:p>
            <w:pPr>
              <w:jc w:val="center"/>
            </w:pPr>
            <w:r>
              <w:rPr>
                <w:b/>
              </w:rPr>
              <w:t>Analyte</w:t>
            </w:r>
          </w:p>
        </w:tc>
        <w:tc>
          <w:tcPr>
            <w:tcW w:type="dxa" w:w="1440"/>
          </w:tcPr>
          <w:p>
            <w:pPr>
              <w:jc w:val="center"/>
            </w:pPr>
            <w:r>
              <w:rPr>
                <w:b/>
              </w:rPr>
              <w:t>Concentration</w:t>
            </w:r>
          </w:p>
        </w:tc>
        <w:tc>
          <w:tcPr>
            <w:tcW w:type="dxa" w:w="1440"/>
          </w:tcPr>
          <w:p>
            <w:pPr>
              <w:jc w:val="center"/>
            </w:pPr>
            <w:r>
              <w:rPr>
                <w:b/>
              </w:rPr>
              <w:t>Unit</w:t>
            </w:r>
          </w:p>
        </w:tc>
      </w:tr>
      <w:tr>
        <w:tc>
          <w:tcPr>
            <w:tcW w:type="dxa" w:w="1440"/>
          </w:tcPr>
          <w:p>
            <w:pPr>
              <w:jc w:val="center"/>
            </w:pPr>
            <w:r>
              <w:t>823</w:t>
            </w:r>
          </w:p>
        </w:tc>
        <w:tc>
          <w:tcPr>
            <w:tcW w:type="dxa" w:w="1440"/>
          </w:tcPr>
          <w:p>
            <w:pPr>
              <w:jc w:val="center"/>
            </w:pPr>
            <w:r>
              <w:t>HPLC-9000</w:t>
            </w:r>
          </w:p>
        </w:tc>
        <w:tc>
          <w:tcPr>
            <w:tcW w:type="dxa" w:w="1440"/>
          </w:tcPr>
          <w:p>
            <w:pPr>
              <w:jc w:val="center"/>
            </w:pPr>
            <w:r>
              <w:t>Coconut Oil, Cetyl Alcohol, Vitamin E</w:t>
            </w:r>
          </w:p>
        </w:tc>
        <w:tc>
          <w:tcPr>
            <w:tcW w:type="dxa" w:w="1440"/>
          </w:tcPr>
          <w:p>
            <w:pPr>
              <w:jc w:val="center"/>
            </w:pPr>
            <w:r>
              <w:t>Vitamin E</w:t>
            </w:r>
          </w:p>
        </w:tc>
        <w:tc>
          <w:tcPr>
            <w:tcW w:type="dxa" w:w="1440"/>
          </w:tcPr>
          <w:p>
            <w:pPr>
              <w:jc w:val="center"/>
            </w:pPr>
            <w:r>
              <w:t>250</w:t>
            </w:r>
          </w:p>
        </w:tc>
        <w:tc>
          <w:tcPr>
            <w:tcW w:type="dxa" w:w="1440"/>
          </w:tcPr>
          <w:p>
            <w:pPr>
              <w:jc w:val="center"/>
            </w:pPr>
            <w:r>
              <w:t>mg/L</w:t>
            </w:r>
          </w:p>
        </w:tc>
      </w:tr>
    </w:tbl>
    <w:p>
      <w:r>
        <w:t>Vitamin E was quantified at 250 mg/L through HPLC, highlighting the efficiency of reverse-phase methodology in retaining hydrophobic analytes within a complex oil blend.</w:t>
      </w:r>
    </w:p>
    <w:p>
      <w:r>
        <w:t>Note: The unrelated fact about HPLC usage in pharmaceutical testing attests to the technique's versatility beyond lipid analysis.</w:t>
      </w:r>
    </w:p>
    <w:p>
      <w:r>
        <w:t>Table 3: Titration and XRD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 Constituents</w:t>
            </w:r>
          </w:p>
        </w:tc>
        <w:tc>
          <w:tcPr>
            <w:tcW w:type="dxa" w:w="1440"/>
          </w:tcPr>
          <w:p>
            <w:pPr>
              <w:jc w:val="center"/>
            </w:pPr>
            <w:r>
              <w:rPr>
                <w:b/>
              </w:rPr>
              <w:t>Analyte</w:t>
            </w:r>
          </w:p>
        </w:tc>
        <w:tc>
          <w:tcPr>
            <w:tcW w:type="dxa" w:w="1440"/>
          </w:tcPr>
          <w:p>
            <w:pPr>
              <w:jc w:val="center"/>
            </w:pPr>
            <w:r>
              <w:rPr>
                <w:b/>
              </w:rPr>
              <w:t>Value</w:t>
            </w:r>
          </w:p>
        </w:tc>
        <w:tc>
          <w:tcPr>
            <w:tcW w:type="dxa" w:w="1440"/>
          </w:tcPr>
          <w:p>
            <w:pPr>
              <w:jc w:val="center"/>
            </w:pPr>
            <w:r>
              <w:rPr>
                <w:b/>
              </w:rPr>
              <w:t>Unit</w:t>
            </w:r>
          </w:p>
        </w:tc>
      </w:tr>
      <w:tr>
        <w:tc>
          <w:tcPr>
            <w:tcW w:type="dxa" w:w="1440"/>
          </w:tcPr>
          <w:p>
            <w:pPr>
              <w:jc w:val="center"/>
            </w:pPr>
            <w:r>
              <w:t>823</w:t>
            </w:r>
          </w:p>
        </w:tc>
        <w:tc>
          <w:tcPr>
            <w:tcW w:type="dxa" w:w="1440"/>
          </w:tcPr>
          <w:p>
            <w:pPr>
              <w:jc w:val="center"/>
            </w:pPr>
            <w:r>
              <w:t>T-905</w:t>
            </w:r>
          </w:p>
        </w:tc>
        <w:tc>
          <w:tcPr>
            <w:tcW w:type="dxa" w:w="1440"/>
          </w:tcPr>
          <w:p>
            <w:pPr>
              <w:jc w:val="center"/>
            </w:pPr>
            <w:r>
              <w:t>Almond Oil, Beeswax, Glycerin</w:t>
            </w:r>
          </w:p>
        </w:tc>
        <w:tc>
          <w:tcPr>
            <w:tcW w:type="dxa" w:w="1440"/>
          </w:tcPr>
          <w:p>
            <w:pPr>
              <w:jc w:val="center"/>
            </w:pPr>
            <w:r>
              <w:t>Glycerin</w:t>
            </w:r>
          </w:p>
        </w:tc>
        <w:tc>
          <w:tcPr>
            <w:tcW w:type="dxa" w:w="1440"/>
          </w:tcPr>
          <w:p>
            <w:pPr>
              <w:jc w:val="center"/>
            </w:pPr>
            <w:r>
              <w:t>5</w:t>
            </w:r>
          </w:p>
        </w:tc>
        <w:tc>
          <w:tcPr>
            <w:tcW w:type="dxa" w:w="1440"/>
          </w:tcPr>
          <w:p>
            <w:pPr>
              <w:jc w:val="center"/>
            </w:pPr>
            <w:r>
              <w:t>M</w:t>
            </w:r>
          </w:p>
        </w:tc>
      </w:tr>
      <w:tr>
        <w:tc>
          <w:tcPr>
            <w:tcW w:type="dxa" w:w="1440"/>
          </w:tcPr>
          <w:p>
            <w:pPr>
              <w:jc w:val="center"/>
            </w:pPr>
            <w:r>
              <w:t>823</w:t>
            </w:r>
          </w:p>
        </w:tc>
        <w:tc>
          <w:tcPr>
            <w:tcW w:type="dxa" w:w="1440"/>
          </w:tcPr>
          <w:p>
            <w:pPr>
              <w:jc w:val="center"/>
            </w:pPr>
            <w:r>
              <w:t>XRD-6000</w:t>
            </w:r>
          </w:p>
        </w:tc>
        <w:tc>
          <w:tcPr>
            <w:tcW w:type="dxa" w:w="1440"/>
          </w:tcPr>
          <w:p>
            <w:pPr>
              <w:jc w:val="center"/>
            </w:pPr>
            <w:r>
              <w:t>Almond Oil, Glycerin</w:t>
            </w:r>
          </w:p>
        </w:tc>
        <w:tc>
          <w:tcPr>
            <w:tcW w:type="dxa" w:w="1440"/>
          </w:tcPr>
          <w:p>
            <w:pPr>
              <w:jc w:val="center"/>
            </w:pPr>
            <w:r>
              <w:t>-</w:t>
            </w:r>
          </w:p>
        </w:tc>
        <w:tc>
          <w:tcPr>
            <w:tcW w:type="dxa" w:w="1440"/>
          </w:tcPr>
          <w:p>
            <w:pPr>
              <w:jc w:val="center"/>
            </w:pPr>
            <w:r>
              <w:t>120</w:t>
            </w:r>
          </w:p>
        </w:tc>
        <w:tc>
          <w:tcPr>
            <w:tcW w:type="dxa" w:w="1440"/>
          </w:tcPr>
          <w:p>
            <w:pPr>
              <w:jc w:val="center"/>
            </w:pPr>
            <w:r>
              <w:t>C</w:t>
            </w:r>
          </w:p>
        </w:tc>
      </w:tr>
    </w:tbl>
    <w:p>
      <w:r>
        <w:t>The titration of glycerin indicated a molarity of 5 M, critical for ongoing formulation trials. Separately, X-ray diffraction confirmed the thermal endurance of almond oil, reaching stability at 120°C, a key parameter for product storage conditions.</w:t>
      </w:r>
    </w:p>
    <w:p>
      <w:r>
        <w:t>Thermocycler and Viscosity Measurements</w:t>
      </w:r>
    </w:p>
    <w:p>
      <w:r>
        <w:t>Utilizing the TC-5000 thermocycler:</w:t>
      </w:r>
    </w:p>
    <w:p>
      <w:r>
        <w:t>Table 4: Viscometer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Report ID</w:t>
            </w:r>
          </w:p>
        </w:tc>
        <w:tc>
          <w:tcPr>
            <w:tcW w:type="dxa" w:w="1440"/>
          </w:tcPr>
          <w:p>
            <w:pPr>
              <w:jc w:val="center"/>
            </w:pPr>
            <w:r>
              <w:rPr>
                <w:b/>
              </w:rPr>
              <w:t>Instrument</w:t>
            </w:r>
          </w:p>
        </w:tc>
        <w:tc>
          <w:tcPr>
            <w:tcW w:type="dxa" w:w="1440"/>
          </w:tcPr>
          <w:p>
            <w:pPr>
              <w:jc w:val="center"/>
            </w:pPr>
            <w:r>
              <w:rPr>
                <w:b/>
              </w:rPr>
              <w:t>Sample Constituents</w:t>
            </w:r>
          </w:p>
        </w:tc>
        <w:tc>
          <w:tcPr>
            <w:tcW w:type="dxa" w:w="1440"/>
          </w:tcPr>
          <w:p>
            <w:pPr>
              <w:jc w:val="center"/>
            </w:pPr>
            <w:r>
              <w:rPr>
                <w:b/>
              </w:rPr>
              <w:t>Analyte</w:t>
            </w:r>
          </w:p>
        </w:tc>
        <w:tc>
          <w:tcPr>
            <w:tcW w:type="dxa" w:w="1440"/>
          </w:tcPr>
          <w:p>
            <w:pPr>
              <w:jc w:val="center"/>
            </w:pPr>
            <w:r>
              <w:rPr>
                <w:b/>
              </w:rPr>
              <w:t>Viscosity</w:t>
            </w:r>
          </w:p>
        </w:tc>
        <w:tc>
          <w:tcPr>
            <w:tcW w:type="dxa" w:w="1440"/>
          </w:tcPr>
          <w:p>
            <w:pPr>
              <w:jc w:val="center"/>
            </w:pPr>
            <w:r>
              <w:rPr>
                <w:b/>
              </w:rPr>
              <w:t>Unit</w:t>
            </w:r>
          </w:p>
        </w:tc>
      </w:tr>
      <w:tr>
        <w:tc>
          <w:tcPr>
            <w:tcW w:type="dxa" w:w="1440"/>
          </w:tcPr>
          <w:p>
            <w:pPr>
              <w:jc w:val="center"/>
            </w:pPr>
            <w:r>
              <w:t>823</w:t>
            </w:r>
          </w:p>
        </w:tc>
        <w:tc>
          <w:tcPr>
            <w:tcW w:type="dxa" w:w="1440"/>
          </w:tcPr>
          <w:p>
            <w:pPr>
              <w:jc w:val="center"/>
            </w:pPr>
            <w:r>
              <w:t>VS-300</w:t>
            </w:r>
          </w:p>
        </w:tc>
        <w:tc>
          <w:tcPr>
            <w:tcW w:type="dxa" w:w="1440"/>
          </w:tcPr>
          <w:p>
            <w:pPr>
              <w:jc w:val="center"/>
            </w:pPr>
            <w:r>
              <w:t>Almond Oil, Beeswax, Vitamin E</w:t>
            </w:r>
          </w:p>
        </w:tc>
        <w:tc>
          <w:tcPr>
            <w:tcW w:type="dxa" w:w="1440"/>
          </w:tcPr>
          <w:p>
            <w:pPr>
              <w:jc w:val="center"/>
            </w:pPr>
            <w:r>
              <w:t>-</w:t>
            </w:r>
          </w:p>
        </w:tc>
        <w:tc>
          <w:tcPr>
            <w:tcW w:type="dxa" w:w="1440"/>
          </w:tcPr>
          <w:p>
            <w:pPr>
              <w:jc w:val="center"/>
            </w:pPr>
            <w:r>
              <w:t>7117.75</w:t>
            </w:r>
          </w:p>
        </w:tc>
        <w:tc>
          <w:tcPr>
            <w:tcW w:type="dxa" w:w="1440"/>
          </w:tcPr>
          <w:p>
            <w:pPr>
              <w:jc w:val="center"/>
            </w:pPr>
            <w:r>
              <w:t>cP</w:t>
            </w:r>
          </w:p>
        </w:tc>
      </w:tr>
    </w:tbl>
    <w:p>
      <w:r>
        <w:t>The measured viscosity (7117.75 cP) underscores significant rheological behavior changes imposed by beeswax incorporation, affecting product applicability.</w:t>
      </w:r>
    </w:p>
    <w:p>
      <w:r>
        <w:t>Conclusion</w:t>
      </w:r>
    </w:p>
    <w:p>
      <w:r>
        <w:t>This extensive study elucidated key attributes and interactions within the analyzed samples. The integration of sophisticated technologies has provided a multi-faceted understanding of mixture properties. Despite the complex data landscape, the isolated precise measurements are invaluable for further exploration and application.</w:t>
      </w:r>
    </w:p>
    <w:p>
      <w:r>
        <w:t>Unrelated Observation:Researchers discovered that test subjects not receiving the sample showed no allergic reactions, an irrelevant yet curious finding.</w:t>
      </w:r>
    </w:p>
    <w:p>
      <w:r>
        <w:t>Appendices</w:t>
      </w:r>
    </w:p>
    <w:p>
      <w:r>
        <w:t>Appendix A:Full methodological protocols available upon request.</w:t>
      </w:r>
    </w:p>
    <w:p>
      <w:r>
        <w:t>Appendix B:Additional insights into stochastic data variances.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