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Chemical Analysis Studies</w:t>
      </w:r>
    </w:p>
    <w:p>
      <w:r>
        <w:t>Introduction</w:t>
      </w:r>
    </w:p>
    <w:p>
      <w:r>
        <w:t>The aim of this study is to analyze and document the chemical properties of various cosmetic mixtures using state-of-the-art instruments. Utilizing mass spectrometry, conductivity, pH analysis, NMR spectroscopy, and titration, we investigated complex blends to assess their unique attributes and behaviors.</w:t>
      </w:r>
    </w:p>
    <w:p>
      <w:r>
        <w:t>Instruments &amp; Methodology</w:t>
      </w:r>
    </w:p>
    <w:p>
      <w:r>
        <w:t>The following instruments were employed in our study:</w:t>
      </w:r>
    </w:p>
    <w:p>
      <w:r>
        <w:t>Samples were prepared as mixed compositions and tested as single, integrated entities without separation of individual components.</w:t>
      </w:r>
    </w:p>
    <w:p>
      <w:r>
        <w:t>Table 1: Mass Spectrometry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Observed m/z</w:t>
            </w:r>
          </w:p>
        </w:tc>
      </w:tr>
      <w:tr>
        <w:tc>
          <w:tcPr>
            <w:tcW w:type="dxa" w:w="2160"/>
          </w:tcPr>
          <w:p>
            <w:pPr>
              <w:jc w:val="center"/>
            </w:pPr>
            <w:r>
              <w:t>925</w:t>
            </w:r>
          </w:p>
        </w:tc>
        <w:tc>
          <w:tcPr>
            <w:tcW w:type="dxa" w:w="2160"/>
          </w:tcPr>
          <w:p>
            <w:pPr>
              <w:jc w:val="center"/>
            </w:pPr>
            <w:r>
              <w:t>MS-20</w:t>
            </w:r>
          </w:p>
        </w:tc>
        <w:tc>
          <w:tcPr>
            <w:tcW w:type="dxa" w:w="2160"/>
          </w:tcPr>
          <w:p>
            <w:pPr>
              <w:jc w:val="center"/>
            </w:pPr>
            <w:r>
              <w:t>Jojoba Oil, Beeswax, Vitamin E</w:t>
            </w:r>
          </w:p>
        </w:tc>
        <w:tc>
          <w:tcPr>
            <w:tcW w:type="dxa" w:w="2160"/>
          </w:tcPr>
          <w:p>
            <w:pPr>
              <w:jc w:val="center"/>
            </w:pPr>
            <w:r>
              <w:t>1590</w:t>
            </w:r>
          </w:p>
        </w:tc>
      </w:tr>
    </w:tbl>
    <w:p>
      <w:r>
        <w:t>Observations:The appearance of a peak at m/z 1590 indicates the presence of high molecular weight compounds likely resulted from the complex mixtures of Jojoba Oil, Beeswax, and Vitamin E. Randomly encountered detection of metallic confounders was deemed negligible.</w:t>
      </w:r>
    </w:p>
    <w:p>
      <w:r>
        <w:t>Table 2: Conductivity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Observed uS/cm</w:t>
            </w:r>
          </w:p>
        </w:tc>
      </w:tr>
      <w:tr>
        <w:tc>
          <w:tcPr>
            <w:tcW w:type="dxa" w:w="2160"/>
          </w:tcPr>
          <w:p>
            <w:pPr>
              <w:jc w:val="center"/>
            </w:pPr>
            <w:r>
              <w:t>925</w:t>
            </w:r>
          </w:p>
        </w:tc>
        <w:tc>
          <w:tcPr>
            <w:tcW w:type="dxa" w:w="2160"/>
          </w:tcPr>
          <w:p>
            <w:pPr>
              <w:jc w:val="center"/>
            </w:pPr>
            <w:r>
              <w:t>CM-215</w:t>
            </w:r>
          </w:p>
        </w:tc>
        <w:tc>
          <w:tcPr>
            <w:tcW w:type="dxa" w:w="2160"/>
          </w:tcPr>
          <w:p>
            <w:pPr>
              <w:jc w:val="center"/>
            </w:pPr>
            <w:r>
              <w:t>Jojoba Oil</w:t>
            </w:r>
          </w:p>
        </w:tc>
        <w:tc>
          <w:tcPr>
            <w:tcW w:type="dxa" w:w="2160"/>
          </w:tcPr>
          <w:p>
            <w:pPr>
              <w:jc w:val="center"/>
            </w:pPr>
            <w:r>
              <w:t>550</w:t>
            </w:r>
          </w:p>
        </w:tc>
      </w:tr>
    </w:tbl>
    <w:p>
      <w:r>
        <w:t>Measurements:Conductivity observed suggests the presence of ionizable substances within the Jojoba Oil mixture, although irrelevant ambient temperature fluctuations were noted.</w:t>
      </w:r>
    </w:p>
    <w:p>
      <w:r>
        <w:t>Table 3: pH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Measured pH</w:t>
            </w:r>
          </w:p>
        </w:tc>
      </w:tr>
      <w:tr>
        <w:tc>
          <w:tcPr>
            <w:tcW w:type="dxa" w:w="2160"/>
          </w:tcPr>
          <w:p>
            <w:pPr>
              <w:jc w:val="center"/>
            </w:pPr>
            <w:r>
              <w:t>925</w:t>
            </w:r>
          </w:p>
        </w:tc>
        <w:tc>
          <w:tcPr>
            <w:tcW w:type="dxa" w:w="2160"/>
          </w:tcPr>
          <w:p>
            <w:pPr>
              <w:jc w:val="center"/>
            </w:pPr>
            <w:r>
              <w:t>PH-700</w:t>
            </w:r>
          </w:p>
        </w:tc>
        <w:tc>
          <w:tcPr>
            <w:tcW w:type="dxa" w:w="2160"/>
          </w:tcPr>
          <w:p>
            <w:pPr>
              <w:jc w:val="center"/>
            </w:pPr>
            <w:r>
              <w:t>Coconut Oil, Cetyl Alcohol, Vitamin E</w:t>
            </w:r>
          </w:p>
        </w:tc>
        <w:tc>
          <w:tcPr>
            <w:tcW w:type="dxa" w:w="2160"/>
          </w:tcPr>
          <w:p>
            <w:pPr>
              <w:jc w:val="center"/>
            </w:pPr>
            <w:r>
              <w:t>8</w:t>
            </w:r>
          </w:p>
        </w:tc>
      </w:tr>
    </w:tbl>
    <w:p>
      <w:r>
        <w:t>Consistency:The measured pH level is consistent with mildly alkaline properties, characteristic of mixtures containing fatty alcohols and Vitamin E, amidst unrelated readings of detergent residues.</w:t>
      </w:r>
    </w:p>
    <w:p>
      <w:r>
        <w:t>Table 4: NMR Spectroscopy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Observed ppm</w:t>
            </w:r>
          </w:p>
        </w:tc>
      </w:tr>
      <w:tr>
        <w:tc>
          <w:tcPr>
            <w:tcW w:type="dxa" w:w="2160"/>
          </w:tcPr>
          <w:p>
            <w:pPr>
              <w:jc w:val="center"/>
            </w:pPr>
            <w:r>
              <w:t>925</w:t>
            </w:r>
          </w:p>
        </w:tc>
        <w:tc>
          <w:tcPr>
            <w:tcW w:type="dxa" w:w="2160"/>
          </w:tcPr>
          <w:p>
            <w:pPr>
              <w:jc w:val="center"/>
            </w:pPr>
            <w:r>
              <w:t>NMR-500</w:t>
            </w:r>
          </w:p>
        </w:tc>
        <w:tc>
          <w:tcPr>
            <w:tcW w:type="dxa" w:w="2160"/>
          </w:tcPr>
          <w:p>
            <w:pPr>
              <w:jc w:val="center"/>
            </w:pPr>
            <w:r>
              <w:t>Almond Oil, Cetyl Alcohol</w:t>
            </w:r>
          </w:p>
        </w:tc>
        <w:tc>
          <w:tcPr>
            <w:tcW w:type="dxa" w:w="2160"/>
          </w:tcPr>
          <w:p>
            <w:pPr>
              <w:jc w:val="center"/>
            </w:pPr>
            <w:r>
              <w:t>12</w:t>
            </w:r>
          </w:p>
        </w:tc>
      </w:tr>
    </w:tbl>
    <w:p>
      <w:r>
        <w:t>Spectrum Analysis:Proton environments observed at 12 ppm imply the hydrogen bonding interactions likely enhanced by the blend of almond and cetyl components, irrespective of traces of incompatible solvents.</w:t>
      </w:r>
    </w:p>
    <w:p>
      <w:r>
        <w:t>Table 5: Titration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ID</w:t>
            </w:r>
          </w:p>
        </w:tc>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Concentration (M)</w:t>
            </w:r>
          </w:p>
        </w:tc>
      </w:tr>
      <w:tr>
        <w:tc>
          <w:tcPr>
            <w:tcW w:type="dxa" w:w="2160"/>
          </w:tcPr>
          <w:p>
            <w:pPr>
              <w:jc w:val="center"/>
            </w:pPr>
            <w:r>
              <w:t>925</w:t>
            </w:r>
          </w:p>
        </w:tc>
        <w:tc>
          <w:tcPr>
            <w:tcW w:type="dxa" w:w="2160"/>
          </w:tcPr>
          <w:p>
            <w:pPr>
              <w:jc w:val="center"/>
            </w:pPr>
            <w:r>
              <w:t>T-905</w:t>
            </w:r>
          </w:p>
        </w:tc>
        <w:tc>
          <w:tcPr>
            <w:tcW w:type="dxa" w:w="2160"/>
          </w:tcPr>
          <w:p>
            <w:pPr>
              <w:jc w:val="center"/>
            </w:pPr>
            <w:r>
              <w:t>Jojoba Oil, Glycerin</w:t>
            </w:r>
          </w:p>
        </w:tc>
        <w:tc>
          <w:tcPr>
            <w:tcW w:type="dxa" w:w="2160"/>
          </w:tcPr>
          <w:p>
            <w:pPr>
              <w:jc w:val="center"/>
            </w:pPr>
            <w:r>
              <w:t>0.2</w:t>
            </w:r>
          </w:p>
        </w:tc>
      </w:tr>
    </w:tbl>
    <w:p>
      <w:r>
        <w:t>Quantification:The concentration of 0.2 M indicates the presence of reactive sites within the glycerin-Jojoba blend, corroborating the titration's quantitative accuracy, despite interference from extraneous peroxides.</w:t>
      </w:r>
    </w:p>
    <w:p>
      <w:r>
        <w:t>Conclusions</w:t>
      </w:r>
    </w:p>
    <w:p>
      <w:r>
        <w:t>The investigative results encapsulate the characteristic signatures of cosmetic product mixtures. Each test revealed unique properties: Mass spectrometry indicating high molecular integration, conductivity reflecting ionization potential, pH defining alkaline behavior, NMR elucidating hydrogen environments, and titration quantifying reactive capacity. The findings align broadly with formulation expectations, notwithstanding the presence of inconsequential contaminants. Further studies might explore deeper underlying interactions between constituents.</w:t>
      </w:r>
    </w:p>
    <w:p>
      <w:r>
        <w:t>In sum, this report contributes a robust foundational analysis for future advancements in the development of enhanced formulations and consistent quality control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