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color w:val="1F3864"/>
          <w:sz w:val="72"/>
        </w:rPr>
        <w:t>PIRS V2</w:t>
      </w:r>
    </w:p>
    <w:p>
      <w:pPr>
        <w:jc w:val="center"/>
      </w:pPr>
      <w:r>
        <w:rPr>
          <w:rFonts w:ascii="Calibri" w:hAnsi="Calibri"/>
          <w:color w:val="2E75B6"/>
          <w:sz w:val="40"/>
        </w:rPr>
        <w:t>Pre-Incident Detection System</w:t>
      </w:r>
    </w:p>
    <w:p>
      <w:pPr>
        <w:jc w:val="center"/>
      </w:pPr>
      <w:r>
        <w:rPr>
          <w:rFonts w:ascii="Calibri" w:hAnsi="Calibri"/>
          <w:color w:val="595959"/>
          <w:sz w:val="32"/>
        </w:rPr>
        <w:t>Architecture &amp; Pipeline Reference</w:t>
      </w:r>
    </w:p>
    <w:p/>
    <w:p>
      <w:pPr>
        <w:spacing w:before="80" w:after="80"/>
        <w:pBdr>
          <w:bottom w:val="single" w:sz="6" w:space="1" w:color="2E75B6"/>
        </w:pBdr>
      </w:pPr>
    </w:p>
    <w:p/>
    <w:p>
      <w:pPr>
        <w:jc w:val="center"/>
      </w:pPr>
      <w:r>
        <w:rPr>
          <w:rFonts w:ascii="Calibri" w:hAnsi="Calibri"/>
          <w:i/>
          <w:color w:val="595959"/>
          <w:sz w:val="22"/>
        </w:rPr>
        <w:t>Dataset: CERT r6.2   ·   4,000 Users   ·   516 Days   ·   9-Layer Drift-Based Pipeline   ·   HTTP Enabled (117M rows)</w:t>
      </w:r>
    </w:p>
    <w:p/>
    <w:p>
      <w:r>
        <w:br w:type="page"/>
      </w:r>
    </w:p>
    <w:p>
      <w:pPr>
        <w:pStyle w:val="Heading1"/>
        <w:jc w:val="left"/>
      </w:pPr>
      <w:r>
        <w:rPr>
          <w:rFonts w:ascii="Calibri" w:hAnsi="Calibri"/>
          <w:color w:val="1F3864"/>
          <w:sz w:val="36"/>
        </w:rPr>
        <w:t>1. Executive Summary</w:t>
      </w:r>
    </w:p>
    <w:p>
      <w:pPr>
        <w:spacing w:before="80" w:after="80"/>
        <w:pBdr>
          <w:bottom w:val="single" w:sz="6" w:space="1" w:color="2E75B6"/>
        </w:pBdr>
      </w:pPr>
    </w:p>
    <w:p>
      <w:pPr>
        <w:spacing w:after="160"/>
      </w:pPr>
      <w:r>
        <w:rPr>
          <w:rFonts w:ascii="Calibri" w:hAnsi="Calibri"/>
          <w:b w:val="0"/>
          <w:i w:val="0"/>
          <w:sz w:val="22"/>
        </w:rPr>
        <w:t>PIRS V2 (Predictive Intervention and Risk Stabilization System, Version 2) is a nine-layer machine learning pipeline designed to detect insider threats in enterprise environments before an incident occurs. Unlike traditional anomaly-detection systems that compare users to a population average, PIRS V2 builds a personal behavioral baseline for each individual and measures how far they have drifted from their own normal over time.</w:t>
      </w:r>
    </w:p>
    <w:p>
      <w:pPr>
        <w:spacing w:after="160"/>
      </w:pPr>
      <w:r>
        <w:rPr>
          <w:rFonts w:ascii="Calibri" w:hAnsi="Calibri"/>
          <w:b w:val="0"/>
          <w:i w:val="0"/>
          <w:sz w:val="22"/>
        </w:rPr>
        <w:t>The system was evaluated on the CERT Insider Threat Dataset r6.2 — a benchmark dataset of 4,000 synthetic employees over 516 days containing five real labeled insider scenarios. PIRS V2 achieved a ROC-AUC of 0.8554, successfully detecting insider behavioral drift 7 to 14 days before the first malicious action in 40% of insider cases, and up to 3 days in advance for 2 out of 5 insiders at CRITICAL/HIGH alert level.</w:t>
      </w:r>
    </w:p>
    <w:p>
      <w:pPr>
        <w:spacing w:after="160"/>
      </w:pPr>
      <w:r>
        <w:rPr>
          <w:rFonts w:ascii="Calibri" w:hAnsi="Calibri"/>
          <w:b w:val="0"/>
          <w:i w:val="0"/>
          <w:sz w:val="22"/>
        </w:rPr>
        <w:t>The pipeline integrates behavioral feature extraction, personal drift detection, ensemble anomaly scoring, personality-matched interventions, and reinforcement-learning policy optimization — all validated against ground-truth insider labels.</w:t>
      </w:r>
    </w:p>
    <w:p/>
    <w:p>
      <w:pPr>
        <w:pStyle w:val="Heading2"/>
        <w:jc w:val="left"/>
      </w:pPr>
      <w:r>
        <w:rPr>
          <w:rFonts w:ascii="Calibri" w:hAnsi="Calibri"/>
          <w:color w:val="2E75B6"/>
          <w:sz w:val="28"/>
        </w:rPr>
        <w:t>Key Performance Indicators</w:t>
      </w:r>
    </w:p>
    <w:tbl>
      <w:tblPr>
        <w:tblStyle w:val="TableGrid"/>
        <w:tblW w:type="auto" w:w="0"/>
        <w:jc w:val="left"/>
        <w:tblLook w:firstColumn="1" w:firstRow="1" w:lastColumn="0" w:lastRow="0" w:noHBand="0" w:noVBand="1" w:val="04A0"/>
      </w:tblPr>
      <w:tblGrid>
        <w:gridCol w:w="3135"/>
        <w:gridCol w:w="3135"/>
        <w:gridCol w:w="3135"/>
      </w:tblGrid>
      <w:tr>
        <w:tc>
          <w:tcPr>
            <w:tcW w:type="dxa" w:w="2880"/>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Metric</w:t>
            </w:r>
          </w:p>
        </w:tc>
        <w:tc>
          <w:tcPr>
            <w:tcW w:type="dxa" w:w="1872"/>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Value</w:t>
            </w:r>
          </w:p>
        </w:tc>
        <w:tc>
          <w:tcPr>
            <w:tcW w:type="dxa" w:w="5184"/>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Interpretation</w:t>
            </w:r>
          </w:p>
        </w:tc>
      </w:tr>
      <w:tr>
        <w:tc>
          <w:tcPr>
            <w:tcW w:type="dxa" w:w="288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ROC-AUC</w:t>
            </w:r>
          </w:p>
        </w:tc>
        <w:tc>
          <w:tcPr>
            <w:tcW w:type="dxa" w:w="187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0.8554</w:t>
            </w:r>
          </w:p>
        </w:tc>
        <w:tc>
          <w:tcPr>
            <w:tcW w:type="dxa" w:w="5184"/>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Strong discrimination: malicious vs. normal days</w:t>
            </w:r>
          </w:p>
        </w:tc>
      </w:tr>
      <w:tr>
        <w:tc>
          <w:tcPr>
            <w:tcW w:type="dxa" w:w="288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EPR (7-day)</w:t>
            </w:r>
          </w:p>
        </w:tc>
        <w:tc>
          <w:tcPr>
            <w:tcW w:type="dxa" w:w="1872"/>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40%</w:t>
            </w:r>
          </w:p>
        </w:tc>
        <w:tc>
          <w:tcPr>
            <w:tcW w:type="dxa" w:w="5184"/>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2 of 5 real insiders detected ≥ 7 days before first attack</w:t>
            </w:r>
          </w:p>
        </w:tc>
      </w:tr>
      <w:tr>
        <w:tc>
          <w:tcPr>
            <w:tcW w:type="dxa" w:w="288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EPR (14-day)</w:t>
            </w:r>
          </w:p>
        </w:tc>
        <w:tc>
          <w:tcPr>
            <w:tcW w:type="dxa" w:w="187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40%</w:t>
            </w:r>
          </w:p>
        </w:tc>
        <w:tc>
          <w:tcPr>
            <w:tcW w:type="dxa" w:w="5184"/>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Same 2 insiders also present at 14-day early warning window</w:t>
            </w:r>
          </w:p>
        </w:tc>
      </w:tr>
      <w:tr>
        <w:tc>
          <w:tcPr>
            <w:tcW w:type="dxa" w:w="288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Early Warning (3d)</w:t>
            </w:r>
          </w:p>
        </w:tc>
        <w:tc>
          <w:tcPr>
            <w:tcW w:type="dxa" w:w="1872"/>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2 / 5</w:t>
            </w:r>
          </w:p>
        </w:tc>
        <w:tc>
          <w:tcPr>
            <w:tcW w:type="dxa" w:w="5184"/>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ACM2278 and CMP2946 flagged at CRITICAL/HIGH with 3 days lead</w:t>
            </w:r>
          </w:p>
        </w:tc>
      </w:tr>
      <w:tr>
        <w:tc>
          <w:tcPr>
            <w:tcW w:type="dxa" w:w="288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Personality Quality</w:t>
            </w:r>
          </w:p>
        </w:tc>
        <w:tc>
          <w:tcPr>
            <w:tcW w:type="dxa" w:w="187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0.931</w:t>
            </w:r>
          </w:p>
        </w:tc>
        <w:tc>
          <w:tcPr>
            <w:tcW w:type="dxa" w:w="5184"/>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93.1% of interventions personality-matched to the user type</w:t>
            </w:r>
          </w:p>
        </w:tc>
      </w:tr>
      <w:tr>
        <w:tc>
          <w:tcPr>
            <w:tcW w:type="dxa" w:w="288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Estimated Cost Saved</w:t>
            </w:r>
          </w:p>
        </w:tc>
        <w:tc>
          <w:tcPr>
            <w:tcW w:type="dxa" w:w="1872"/>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$22.8M</w:t>
            </w:r>
          </w:p>
        </w:tc>
        <w:tc>
          <w:tcPr>
            <w:tcW w:type="dxa" w:w="5184"/>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Prevention value vs. average insider incident cost model</w:t>
            </w:r>
          </w:p>
        </w:tc>
      </w:tr>
      <w:tr>
        <w:tc>
          <w:tcPr>
            <w:tcW w:type="dxa" w:w="288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Users Monitored</w:t>
            </w:r>
          </w:p>
        </w:tc>
        <w:tc>
          <w:tcPr>
            <w:tcW w:type="dxa" w:w="187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4,000</w:t>
            </w:r>
          </w:p>
        </w:tc>
        <w:tc>
          <w:tcPr>
            <w:tcW w:type="dxa" w:w="5184"/>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Full CERT r6.2 population, all 516 days</w:t>
            </w:r>
          </w:p>
        </w:tc>
      </w:tr>
      <w:tr>
        <w:tc>
          <w:tcPr>
            <w:tcW w:type="dxa" w:w="288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HTTP Rows Processed</w:t>
            </w:r>
          </w:p>
        </w:tc>
        <w:tc>
          <w:tcPr>
            <w:tcW w:type="dxa" w:w="1872"/>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117M</w:t>
            </w:r>
          </w:p>
        </w:tc>
        <w:tc>
          <w:tcPr>
            <w:tcW w:type="dxa" w:w="5184"/>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All HTTP activity included (was skipped in PIRS V1)</w:t>
            </w:r>
          </w:p>
        </w:tc>
      </w:tr>
    </w:tbl>
    <w:p/>
    <w:p>
      <w:r>
        <w:br w:type="page"/>
      </w:r>
    </w:p>
    <w:p>
      <w:pPr>
        <w:pStyle w:val="Heading1"/>
        <w:jc w:val="left"/>
      </w:pPr>
      <w:r>
        <w:rPr>
          <w:rFonts w:ascii="Calibri" w:hAnsi="Calibri"/>
          <w:color w:val="1F3864"/>
          <w:sz w:val="36"/>
        </w:rPr>
        <w:t>2. PIRS V2 vs. PIRS V1 — What Changed</w:t>
      </w:r>
    </w:p>
    <w:p>
      <w:pPr>
        <w:spacing w:before="80" w:after="80"/>
        <w:pBdr>
          <w:bottom w:val="single" w:sz="6" w:space="1" w:color="2E75B6"/>
        </w:pBdr>
      </w:pPr>
    </w:p>
    <w:p>
      <w:pPr>
        <w:spacing w:after="160"/>
      </w:pPr>
      <w:r>
        <w:rPr>
          <w:rFonts w:ascii="Calibri" w:hAnsi="Calibri"/>
          <w:b w:val="0"/>
          <w:i w:val="0"/>
          <w:sz w:val="22"/>
        </w:rPr>
        <w:t>PIRS V2 is a ground-up redesign of the V1 pipeline. The core improvements address the fundamental limitation of V1: it measured behavior against a population average, which cannot detect subtle personal drift in users whose baseline differs significantly from their colleagues.</w:t>
      </w:r>
    </w:p>
    <w:tbl>
      <w:tblPr>
        <w:tblStyle w:val="TableGrid"/>
        <w:tblW w:type="auto" w:w="0"/>
        <w:jc w:val="left"/>
        <w:tblLook w:firstColumn="1" w:firstRow="1" w:lastColumn="0" w:lastRow="0" w:noHBand="0" w:noVBand="1" w:val="04A0"/>
      </w:tblPr>
      <w:tblGrid>
        <w:gridCol w:w="3135"/>
        <w:gridCol w:w="3135"/>
        <w:gridCol w:w="3135"/>
      </w:tblGrid>
      <w:tr>
        <w:tc>
          <w:tcPr>
            <w:tcW w:type="dxa" w:w="2592"/>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Aspect</w:t>
            </w:r>
          </w:p>
        </w:tc>
        <w:tc>
          <w:tcPr>
            <w:tcW w:type="dxa" w:w="3888"/>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PIRS V1</w:t>
            </w:r>
          </w:p>
        </w:tc>
        <w:tc>
          <w:tcPr>
            <w:tcW w:type="dxa" w:w="3888"/>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PIRS V2</w:t>
            </w:r>
          </w:p>
        </w:tc>
      </w:tr>
      <w:tr>
        <w:tc>
          <w:tcPr>
            <w:tcW w:type="dxa" w:w="259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Behavioral Baseline</w:t>
            </w:r>
          </w:p>
        </w:tc>
        <w:tc>
          <w:tcPr>
            <w:tcW w:type="dxa" w:w="388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Population average (all users, all days)</w:t>
            </w:r>
          </w:p>
        </w:tc>
        <w:tc>
          <w:tcPr>
            <w:tcW w:type="dxa" w:w="388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Personal 60-day rolling baseline per individual user</w:t>
            </w:r>
          </w:p>
        </w:tc>
      </w:tr>
      <w:tr>
        <w:tc>
          <w:tcPr>
            <w:tcW w:type="dxa" w:w="2592"/>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Detection Signal</w:t>
            </w:r>
          </w:p>
        </w:tc>
        <w:tc>
          <w:tcPr>
            <w:tcW w:type="dxa" w:w="3888"/>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Anomaly score on raw feature values</w:t>
            </w:r>
          </w:p>
        </w:tc>
        <w:tc>
          <w:tcPr>
            <w:tcW w:type="dxa" w:w="3888"/>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Drift slope on z-score deviations from personal norm</w:t>
            </w:r>
          </w:p>
        </w:tc>
      </w:tr>
      <w:tr>
        <w:tc>
          <w:tcPr>
            <w:tcW w:type="dxa" w:w="259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HTTP Data</w:t>
            </w:r>
          </w:p>
        </w:tc>
        <w:tc>
          <w:tcPr>
            <w:tcW w:type="dxa" w:w="388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Skipped (SKIP_HTTP=True) — too large</w:t>
            </w:r>
          </w:p>
        </w:tc>
        <w:tc>
          <w:tcPr>
            <w:tcW w:type="dxa" w:w="388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Fully enabled — 117 million rows processed</w:t>
            </w:r>
          </w:p>
        </w:tc>
      </w:tr>
      <w:tr>
        <w:tc>
          <w:tcPr>
            <w:tcW w:type="dxa" w:w="2592"/>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Prediction Horizon</w:t>
            </w:r>
          </w:p>
        </w:tc>
        <w:tc>
          <w:tcPr>
            <w:tcW w:type="dxa" w:w="3888"/>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Same-day detection only</w:t>
            </w:r>
          </w:p>
        </w:tc>
        <w:tc>
          <w:tcPr>
            <w:tcW w:type="dxa" w:w="3888"/>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7-day and 14-day breach trajectory forecasting</w:t>
            </w:r>
          </w:p>
        </w:tc>
      </w:tr>
      <w:tr>
        <w:tc>
          <w:tcPr>
            <w:tcW w:type="dxa" w:w="259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Validation</w:t>
            </w:r>
          </w:p>
        </w:tc>
        <w:tc>
          <w:tcPr>
            <w:tcW w:type="dxa" w:w="388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No ground-truth validation</w:t>
            </w:r>
          </w:p>
        </w:tc>
        <w:tc>
          <w:tcPr>
            <w:tcW w:type="dxa" w:w="388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ROC-AUC + early warning against 5 labeled insiders</w:t>
            </w:r>
          </w:p>
        </w:tc>
      </w:tr>
      <w:tr>
        <w:tc>
          <w:tcPr>
            <w:tcW w:type="dxa" w:w="2592"/>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Explainability</w:t>
            </w:r>
          </w:p>
        </w:tc>
        <w:tc>
          <w:tcPr>
            <w:tcW w:type="dxa" w:w="3888"/>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Population-level z-score ranking</w:t>
            </w:r>
          </w:p>
        </w:tc>
        <w:tc>
          <w:tcPr>
            <w:tcW w:type="dxa" w:w="3888"/>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Personal deviation feature analysis per user</w:t>
            </w:r>
          </w:p>
        </w:tc>
      </w:tr>
      <w:tr>
        <w:tc>
          <w:tcPr>
            <w:tcW w:type="dxa" w:w="259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Personality Typing</w:t>
            </w:r>
          </w:p>
        </w:tc>
        <w:tc>
          <w:tcPr>
            <w:tcW w:type="dxa" w:w="388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Fixed feature grouping (arbitrary split)</w:t>
            </w:r>
          </w:p>
        </w:tc>
        <w:tc>
          <w:tcPr>
            <w:tcW w:type="dxa" w:w="388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OCEAN psychometric + behavioral semantic groups</w:t>
            </w:r>
          </w:p>
        </w:tc>
      </w:tr>
      <w:tr>
        <w:tc>
          <w:tcPr>
            <w:tcW w:type="dxa" w:w="2592"/>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LSTM Training</w:t>
            </w:r>
          </w:p>
        </w:tc>
        <w:tc>
          <w:tcPr>
            <w:tcW w:type="dxa" w:w="3888"/>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2 epochs, 10K sequences, latent_dim=16</w:t>
            </w:r>
          </w:p>
        </w:tc>
        <w:tc>
          <w:tcPr>
            <w:tcW w:type="dxa" w:w="3888"/>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10 epochs, 50K sequences, latent_dim=32</w:t>
            </w:r>
          </w:p>
        </w:tc>
      </w:tr>
      <w:tr>
        <w:tc>
          <w:tcPr>
            <w:tcW w:type="dxa" w:w="259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Risk Formula</w:t>
            </w:r>
          </w:p>
        </w:tc>
        <w:tc>
          <w:tcPr>
            <w:tcW w:type="dxa" w:w="388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EPR: 71.1% (HTTP zeroed)</w:t>
            </w:r>
          </w:p>
        </w:tc>
        <w:tc>
          <w:tcPr>
            <w:tcW w:type="dxa" w:w="388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EPR: 40% (validated on ground truth, HTTP enabled)</w:t>
            </w:r>
          </w:p>
        </w:tc>
      </w:tr>
      <w:tr>
        <w:tc>
          <w:tcPr>
            <w:tcW w:type="dxa" w:w="2592"/>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ROC-AUC</w:t>
            </w:r>
          </w:p>
        </w:tc>
        <w:tc>
          <w:tcPr>
            <w:tcW w:type="dxa" w:w="3888"/>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Not measured</w:t>
            </w:r>
          </w:p>
        </w:tc>
        <w:tc>
          <w:tcPr>
            <w:tcW w:type="dxa" w:w="3888"/>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0.8554 (significantly above random baseline of 0.5)</w:t>
            </w:r>
          </w:p>
        </w:tc>
      </w:tr>
    </w:tbl>
    <w:p/>
    <w:p>
      <w:r>
        <w:br w:type="page"/>
      </w:r>
    </w:p>
    <w:p>
      <w:pPr>
        <w:pStyle w:val="Heading1"/>
        <w:jc w:val="left"/>
      </w:pPr>
      <w:r>
        <w:rPr>
          <w:rFonts w:ascii="Calibri" w:hAnsi="Calibri"/>
          <w:color w:val="1F3864"/>
          <w:sz w:val="36"/>
        </w:rPr>
        <w:t>3. System Architecture Diagram</w:t>
      </w:r>
    </w:p>
    <w:p>
      <w:pPr>
        <w:spacing w:before="80" w:after="80"/>
        <w:pBdr>
          <w:bottom w:val="single" w:sz="6" w:space="1" w:color="2E75B6"/>
        </w:pBdr>
      </w:pPr>
    </w:p>
    <w:p>
      <w:pPr>
        <w:spacing w:after="160"/>
      </w:pPr>
      <w:r>
        <w:rPr>
          <w:rFonts w:ascii="Calibri" w:hAnsi="Calibri"/>
          <w:b w:val="0"/>
          <w:i w:val="0"/>
          <w:sz w:val="22"/>
        </w:rPr>
        <w:t>The diagram below shows the complete PIRS V2 pipeline from raw input data through all nine processing layers to the final outputs and validation artefacts.</w:t>
      </w:r>
    </w:p>
    <w:p>
      <w:pPr>
        <w:jc w:val="center"/>
      </w:pPr>
      <w:r>
        <w:drawing>
          <wp:inline xmlns:a="http://schemas.openxmlformats.org/drawingml/2006/main" xmlns:pic="http://schemas.openxmlformats.org/drawingml/2006/picture">
            <wp:extent cx="5943600" cy="3478654"/>
            <wp:docPr id="1" name="Picture 1"/>
            <wp:cNvGraphicFramePr>
              <a:graphicFrameLocks noChangeAspect="1"/>
            </wp:cNvGraphicFramePr>
            <a:graphic>
              <a:graphicData uri="http://schemas.openxmlformats.org/drawingml/2006/picture">
                <pic:pic>
                  <pic:nvPicPr>
                    <pic:cNvPr id="0" name="pirs_v2_architecture.png"/>
                    <pic:cNvPicPr/>
                  </pic:nvPicPr>
                  <pic:blipFill>
                    <a:blip r:embed="rId9"/>
                    <a:stretch>
                      <a:fillRect/>
                    </a:stretch>
                  </pic:blipFill>
                  <pic:spPr>
                    <a:xfrm>
                      <a:off x="0" y="0"/>
                      <a:ext cx="5943600" cy="3478654"/>
                    </a:xfrm>
                    <a:prstGeom prst="rect"/>
                  </pic:spPr>
                </pic:pic>
              </a:graphicData>
            </a:graphic>
          </wp:inline>
        </w:drawing>
      </w:r>
    </w:p>
    <w:p>
      <w:pPr>
        <w:jc w:val="center"/>
      </w:pPr>
      <w:r>
        <w:rPr>
          <w:i/>
          <w:color w:val="595959"/>
          <w:sz w:val="18"/>
        </w:rPr>
        <w:t>Figure 1 — PIRS V2 nine-layer pre-incident detection architecture</w:t>
      </w:r>
    </w:p>
    <w:p/>
    <w:p>
      <w:r>
        <w:br w:type="page"/>
      </w:r>
    </w:p>
    <w:p>
      <w:pPr>
        <w:pStyle w:val="Heading1"/>
        <w:jc w:val="left"/>
      </w:pPr>
      <w:r>
        <w:rPr>
          <w:rFonts w:ascii="Calibri" w:hAnsi="Calibri"/>
          <w:color w:val="1F3864"/>
          <w:sz w:val="36"/>
        </w:rPr>
        <w:t>4. Pipeline Layers — Detailed Description</w:t>
      </w:r>
    </w:p>
    <w:p>
      <w:pPr>
        <w:spacing w:before="80" w:after="80"/>
        <w:pBdr>
          <w:bottom w:val="single" w:sz="6" w:space="1" w:color="2E75B6"/>
        </w:pBdr>
      </w:pPr>
    </w:p>
    <w:p>
      <w:pPr>
        <w:spacing w:after="200"/>
      </w:pPr>
      <w:r>
        <w:rPr>
          <w:rFonts w:ascii="Calibri" w:hAnsi="Calibri"/>
          <w:b w:val="0"/>
          <w:i w:val="0"/>
          <w:sz w:val="22"/>
        </w:rPr>
        <w:t>PIRS V2 consists of nine sequential layers. Each layer transforms the data and adds enriched signals that feed into the next layer. Intermediate checkpoints are saved as CSV files so any layer can be restarted independently without re-processing the entire dataset.</w:t>
      </w:r>
    </w:p>
    <w:p>
      <w:pPr>
        <w:pStyle w:val="Heading2"/>
        <w:jc w:val="left"/>
      </w:pPr>
      <w:r>
        <w:rPr>
          <w:rFonts w:ascii="Calibri" w:hAnsi="Calibri"/>
          <w:color w:val="2E75B6"/>
          <w:sz w:val="28"/>
        </w:rPr>
        <w:t>Layer 0 — Feature Extraction  (cert_extractor.py)</w:t>
      </w:r>
    </w:p>
    <w:p>
      <w:pPr>
        <w:spacing w:after="120"/>
      </w:pPr>
      <w:r>
        <w:rPr>
          <w:rFonts w:ascii="Calibri" w:hAnsi="Calibri"/>
          <w:b w:val="0"/>
          <w:i w:val="0"/>
          <w:sz w:val="22"/>
        </w:rPr>
        <w:t>The entry point of the pipeline. Five raw CERT r6.2 log files are merged and aggregated into a single per-user, per-day feature matrix.</w:t>
      </w:r>
    </w:p>
    <w:p>
      <w:pPr>
        <w:spacing w:after="60"/>
      </w:pPr>
      <w:r>
        <w:rPr>
          <w:rFonts w:ascii="Calibri" w:hAnsi="Calibri"/>
          <w:b/>
          <w:sz w:val="21"/>
        </w:rPr>
        <w:t xml:space="preserve">Input files: </w:t>
      </w:r>
      <w:r>
        <w:rPr>
          <w:rFonts w:ascii="Calibri" w:hAnsi="Calibri"/>
          <w:color w:val="595959"/>
          <w:sz w:val="21"/>
        </w:rPr>
        <w:t>logon.csv (~1.4M events), device.csv (USB), file.csv (308K), email.csv (1.38M), http.csv (117M rows), LDAP/ (user metadata), psychometric.csv (OCEAN scores)</w:t>
      </w:r>
    </w:p>
    <w:p>
      <w:pPr>
        <w:spacing w:after="60"/>
      </w:pPr>
      <w:r>
        <w:rPr>
          <w:rFonts w:ascii="Calibri" w:hAnsi="Calibri"/>
          <w:b/>
          <w:sz w:val="21"/>
        </w:rPr>
        <w:t xml:space="preserve">Output: </w:t>
      </w:r>
      <w:r>
        <w:rPr>
          <w:rFonts w:ascii="Calibri" w:hAnsi="Calibri"/>
          <w:color w:val="595959"/>
          <w:sz w:val="21"/>
        </w:rPr>
        <w:t>cert_features.csv — 1,393,129 rows × 32 features, 4,000 users, 516 days</w:t>
      </w:r>
    </w:p>
    <w:p>
      <w:pPr>
        <w:spacing w:after="60"/>
      </w:pPr>
      <w:r>
        <w:rPr>
          <w:rFonts w:ascii="Calibri" w:hAnsi="Calibri"/>
          <w:b/>
          <w:sz w:val="21"/>
        </w:rPr>
        <w:t xml:space="preserve">Feature categories: </w:t>
      </w:r>
      <w:r>
        <w:rPr>
          <w:rFonts w:ascii="Calibri" w:hAnsi="Calibri"/>
          <w:color w:val="595959"/>
          <w:sz w:val="21"/>
        </w:rPr>
        <w:t>Logon activity (work/after-hours), USB device usage, File operations, Email behaviour (internal/external/BCC), HTTP browsing (job/cloud/leak/hack categories)</w:t>
      </w:r>
    </w:p>
    <w:p>
      <w:pPr>
        <w:spacing w:after="60"/>
      </w:pPr>
      <w:r>
        <w:rPr>
          <w:rFonts w:ascii="Calibri" w:hAnsi="Calibri"/>
          <w:b/>
          <w:sz w:val="21"/>
        </w:rPr>
        <w:t xml:space="preserve">Key feature examples: </w:t>
      </w:r>
      <w:r>
        <w:rPr>
          <w:rFonts w:ascii="Calibri" w:hAnsi="Calibri"/>
          <w:color w:val="595959"/>
          <w:sz w:val="21"/>
        </w:rPr>
        <w:t>file_n-to_usb1 (files copied to USB), http_n_cloudf (cloud upload visits), email_n-exbccmail1 (external BCC emails), n_afterhourusb (after-hours USB events)</w:t>
      </w:r>
    </w:p>
    <w:p>
      <w:pPr>
        <w:spacing w:after="200"/>
      </w:pPr>
      <w:r>
        <w:rPr>
          <w:rFonts w:ascii="Calibri" w:hAnsi="Calibri"/>
          <w:b w:val="0"/>
          <w:i/>
          <w:color w:val="595959"/>
          <w:sz w:val="22"/>
        </w:rPr>
        <w:t>HTTP extraction was the most computationally intensive step, requiring approximately 4–5 hours to process all 117 million rows. The result is a compact set of behavioral web-category counts per user per day.</w:t>
      </w:r>
    </w:p>
    <w:p>
      <w:pPr>
        <w:spacing w:before="80" w:after="80"/>
        <w:pBdr>
          <w:bottom w:val="single" w:sz="6" w:space="1" w:color="2E75B6"/>
        </w:pBdr>
      </w:pPr>
    </w:p>
    <w:p>
      <w:pPr>
        <w:pStyle w:val="Heading2"/>
        <w:jc w:val="left"/>
      </w:pPr>
      <w:r>
        <w:rPr>
          <w:rFonts w:ascii="Calibri" w:hAnsi="Calibri"/>
          <w:color w:val="2E75B6"/>
          <w:sz w:val="28"/>
        </w:rPr>
        <w:t>Layer 1 — Personal Behavioral Baseline</w:t>
      </w:r>
    </w:p>
    <w:p>
      <w:pPr>
        <w:spacing w:after="120"/>
      </w:pPr>
      <w:r>
        <w:rPr>
          <w:rFonts w:ascii="Calibri" w:hAnsi="Calibri"/>
          <w:b w:val="0"/>
          <w:i w:val="0"/>
          <w:sz w:val="22"/>
        </w:rPr>
        <w:t>The most critical architectural change from V1. Instead of comparing each user's behaviour to the population mean, Layer 1 builds a personal norm for every user using a 60-day rolling window.</w:t>
      </w:r>
    </w:p>
    <w:p>
      <w:pPr>
        <w:spacing w:after="60"/>
      </w:pPr>
      <w:r>
        <w:rPr>
          <w:rFonts w:ascii="Calibri" w:hAnsi="Calibri"/>
          <w:b/>
          <w:sz w:val="21"/>
        </w:rPr>
        <w:t xml:space="preserve">Method: </w:t>
      </w:r>
      <w:r>
        <w:rPr>
          <w:rFonts w:ascii="Calibri" w:hAnsi="Calibri"/>
          <w:color w:val="595959"/>
          <w:sz w:val="21"/>
        </w:rPr>
        <w:t>60-day rolling mean and standard deviation per user per feature</w:t>
      </w:r>
    </w:p>
    <w:p>
      <w:pPr>
        <w:spacing w:after="60"/>
      </w:pPr>
      <w:r>
        <w:rPr>
          <w:rFonts w:ascii="Calibri" w:hAnsi="Calibri"/>
          <w:b/>
          <w:sz w:val="21"/>
        </w:rPr>
        <w:t xml:space="preserve">Output signal: </w:t>
      </w:r>
      <w:r>
        <w:rPr>
          <w:rFonts w:ascii="Calibri" w:hAnsi="Calibri"/>
          <w:color w:val="595959"/>
          <w:sz w:val="21"/>
        </w:rPr>
        <w:t>z_dev = (today − personal_mean) / personal_std</w:t>
      </w:r>
    </w:p>
    <w:p>
      <w:pPr>
        <w:spacing w:after="60"/>
      </w:pPr>
      <w:r>
        <w:rPr>
          <w:rFonts w:ascii="Calibri" w:hAnsi="Calibri"/>
          <w:b/>
          <w:sz w:val="21"/>
        </w:rPr>
        <w:t xml:space="preserve">Deviation features: </w:t>
      </w:r>
      <w:r>
        <w:rPr>
          <w:rFonts w:ascii="Calibri" w:hAnsi="Calibri"/>
          <w:color w:val="595959"/>
          <w:sz w:val="21"/>
        </w:rPr>
        <w:t>27 z-score deviation columns per user-day record</w:t>
      </w:r>
    </w:p>
    <w:p>
      <w:pPr>
        <w:spacing w:after="60"/>
      </w:pPr>
      <w:r>
        <w:rPr>
          <w:rFonts w:ascii="Calibri" w:hAnsi="Calibri"/>
          <w:b/>
          <w:sz w:val="21"/>
        </w:rPr>
        <w:t xml:space="preserve">Rationale: </w:t>
      </w:r>
      <w:r>
        <w:rPr>
          <w:rFonts w:ascii="Calibri" w:hAnsi="Calibri"/>
          <w:color w:val="595959"/>
          <w:sz w:val="21"/>
        </w:rPr>
        <w:t>A sales executive who sends 50 emails per day is not anomalous; a warehouse worker who suddenly sends 50 emails is. Population baselines miss this class of insider entirely.</w:t>
      </w:r>
    </w:p>
    <w:p>
      <w:pPr>
        <w:spacing w:after="200"/>
      </w:pPr>
      <w:r>
        <w:rPr>
          <w:rFonts w:ascii="Calibri" w:hAnsi="Calibri"/>
          <w:b w:val="0"/>
          <w:i/>
          <w:color w:val="595959"/>
          <w:sz w:val="22"/>
        </w:rPr>
        <w:t>The 60-day window was chosen to be long enough to capture stable habits but short enough to adapt to genuine role changes (e.g., a promotion or new project).</w:t>
      </w:r>
    </w:p>
    <w:p>
      <w:pPr>
        <w:spacing w:before="80" w:after="80"/>
        <w:pBdr>
          <w:bottom w:val="single" w:sz="6" w:space="1" w:color="2E75B6"/>
        </w:pBdr>
      </w:pPr>
    </w:p>
    <w:p>
      <w:pPr>
        <w:pStyle w:val="Heading2"/>
        <w:jc w:val="left"/>
      </w:pPr>
      <w:r>
        <w:rPr>
          <w:rFonts w:ascii="Calibri" w:hAnsi="Calibri"/>
          <w:color w:val="2E75B6"/>
          <w:sz w:val="28"/>
        </w:rPr>
        <w:t>Layer 2 — Drift Detection  (Linear Regression)</w:t>
      </w:r>
    </w:p>
    <w:p>
      <w:pPr>
        <w:spacing w:after="120"/>
      </w:pPr>
      <w:r>
        <w:rPr>
          <w:rFonts w:ascii="Calibri" w:hAnsi="Calibri"/>
          <w:b w:val="0"/>
          <w:i w:val="0"/>
          <w:sz w:val="22"/>
        </w:rPr>
        <w:t>Drift detection transforms the z-score deviations from Layer 1 into a single directional signal: is this user's behaviour consistently moving away from their personal norm?</w:t>
      </w:r>
    </w:p>
    <w:p>
      <w:pPr>
        <w:spacing w:after="60"/>
      </w:pPr>
      <w:r>
        <w:rPr>
          <w:rFonts w:ascii="Calibri" w:hAnsi="Calibri"/>
          <w:b/>
          <w:sz w:val="21"/>
        </w:rPr>
        <w:t xml:space="preserve">Method: </w:t>
      </w:r>
      <w:r>
        <w:rPr>
          <w:rFonts w:ascii="Calibri" w:hAnsi="Calibri"/>
          <w:color w:val="595959"/>
          <w:sz w:val="21"/>
        </w:rPr>
        <w:t>14-day rolling linear regression on each deviation feature</w:t>
      </w:r>
    </w:p>
    <w:p>
      <w:pPr>
        <w:spacing w:after="60"/>
      </w:pPr>
      <w:r>
        <w:rPr>
          <w:rFonts w:ascii="Calibri" w:hAnsi="Calibri"/>
          <w:b/>
          <w:sz w:val="21"/>
        </w:rPr>
        <w:t xml:space="preserve">drift_score: </w:t>
      </w:r>
      <w:r>
        <w:rPr>
          <w:rFonts w:ascii="Calibri" w:hAnsi="Calibri"/>
          <w:color w:val="595959"/>
          <w:sz w:val="21"/>
        </w:rPr>
        <w:t>Weighted sum of per-feature regression slopes — positive = drifting away from norm</w:t>
      </w:r>
    </w:p>
    <w:p>
      <w:pPr>
        <w:spacing w:after="60"/>
      </w:pPr>
      <w:r>
        <w:rPr>
          <w:rFonts w:ascii="Calibri" w:hAnsi="Calibri"/>
          <w:b/>
          <w:sz w:val="21"/>
        </w:rPr>
        <w:t xml:space="preserve">drift_accel: </w:t>
      </w:r>
      <w:r>
        <w:rPr>
          <w:rFonts w:ascii="Calibri" w:hAnsi="Calibri"/>
          <w:color w:val="595959"/>
          <w:sz w:val="21"/>
        </w:rPr>
        <w:t>Rate of change of drift_score — captures acceleration (sudden spike vs. gradual drift)</w:t>
      </w:r>
    </w:p>
    <w:p>
      <w:pPr>
        <w:spacing w:after="60"/>
      </w:pPr>
      <w:r>
        <w:rPr>
          <w:rFonts w:ascii="Calibri" w:hAnsi="Calibri"/>
          <w:b/>
          <w:sz w:val="21"/>
        </w:rPr>
        <w:t xml:space="preserve">Checkpoint: </w:t>
      </w:r>
      <w:r>
        <w:rPr>
          <w:rFonts w:ascii="Calibri" w:hAnsi="Calibri"/>
          <w:color w:val="595959"/>
          <w:sz w:val="21"/>
        </w:rPr>
        <w:t>cert_after_drift.csv</w:t>
      </w:r>
    </w:p>
    <w:p>
      <w:pPr>
        <w:spacing w:after="200"/>
      </w:pPr>
      <w:r>
        <w:rPr>
          <w:rFonts w:ascii="Calibri" w:hAnsi="Calibri"/>
          <w:b w:val="0"/>
          <w:i/>
          <w:color w:val="595959"/>
          <w:sz w:val="22"/>
        </w:rPr>
        <w:t>The 14-day regression window is tuned to the research question: can we detect a behavioural shift at least one to two weeks before an incident occurs? A shorter window is too noisy; a longer window reduces early-warning lead time.</w:t>
      </w:r>
    </w:p>
    <w:p>
      <w:pPr>
        <w:spacing w:before="80" w:after="80"/>
        <w:pBdr>
          <w:bottom w:val="single" w:sz="6" w:space="1" w:color="2E75B6"/>
        </w:pBdr>
      </w:pPr>
    </w:p>
    <w:p>
      <w:pPr>
        <w:pStyle w:val="Heading2"/>
        <w:jc w:val="left"/>
      </w:pPr>
      <w:r>
        <w:rPr>
          <w:rFonts w:ascii="Calibri" w:hAnsi="Calibri"/>
          <w:color w:val="2E75B6"/>
          <w:sz w:val="28"/>
        </w:rPr>
        <w:t>Layer 4 — Ensemble Anomaly Detection</w:t>
      </w:r>
    </w:p>
    <w:p>
      <w:pPr>
        <w:spacing w:after="120"/>
      </w:pPr>
      <w:r>
        <w:rPr>
          <w:rFonts w:ascii="Calibri" w:hAnsi="Calibri"/>
          <w:b w:val="0"/>
          <w:i w:val="0"/>
          <w:sz w:val="22"/>
        </w:rPr>
        <w:t>Three complementary anomaly-detection models are combined into a single weighted ensemble score. Using multiple model families reduces the risk that any one model's blind spots cause a missed detection.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60"/>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Model</w:t>
            </w:r>
          </w:p>
        </w:tc>
        <w:tc>
          <w:tcPr>
            <w:tcW w:type="dxa" w:w="1008"/>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Weight</w:t>
            </w:r>
          </w:p>
        </w:tc>
        <w:tc>
          <w:tcPr>
            <w:tcW w:type="dxa" w:w="4032"/>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Configuration</w:t>
            </w:r>
          </w:p>
        </w:tc>
        <w:tc>
          <w:tcPr>
            <w:tcW w:type="dxa" w:w="3168"/>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Strengths</w:t>
            </w:r>
          </w:p>
        </w:tc>
      </w:tr>
      <w:tr>
        <w:tc>
          <w:tcPr>
            <w:tcW w:type="dxa" w:w="216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Isolation Forest</w:t>
            </w:r>
          </w:p>
        </w:tc>
        <w:tc>
          <w:tcPr>
            <w:tcW w:type="dxa" w:w="100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50%</w:t>
            </w:r>
          </w:p>
        </w:tc>
        <w:tc>
          <w:tcPr>
            <w:tcW w:type="dxa" w:w="403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100 trees, contamination = 0.5%, random_state = 42</w:t>
            </w:r>
          </w:p>
        </w:tc>
        <w:tc>
          <w:tcPr>
            <w:tcW w:type="dxa" w:w="316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Fast, robust to high dimensionality, no distribution assumption</w:t>
            </w:r>
          </w:p>
        </w:tc>
      </w:tr>
      <w:tr>
        <w:tc>
          <w:tcPr>
            <w:tcW w:type="dxa" w:w="216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LSTM Autoencoder</w:t>
            </w:r>
          </w:p>
        </w:tc>
        <w:tc>
          <w:tcPr>
            <w:tcW w:type="dxa" w:w="1008"/>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35%</w:t>
            </w:r>
          </w:p>
        </w:tc>
        <w:tc>
          <w:tcPr>
            <w:tcW w:type="dxa" w:w="4032"/>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50K sequences, 7-step window, latent_dim = 32, 10 epochs</w:t>
            </w:r>
          </w:p>
        </w:tc>
        <w:tc>
          <w:tcPr>
            <w:tcW w:type="dxa" w:w="3168"/>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Captures temporal patterns and sequential behavioral change</w:t>
            </w:r>
          </w:p>
        </w:tc>
      </w:tr>
      <w:tr>
        <w:tc>
          <w:tcPr>
            <w:tcW w:type="dxa" w:w="216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One-Class SVM</w:t>
            </w:r>
          </w:p>
        </w:tc>
        <w:tc>
          <w:tcPr>
            <w:tcW w:type="dxa" w:w="100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15%</w:t>
            </w:r>
          </w:p>
        </w:tc>
        <w:tc>
          <w:tcPr>
            <w:tcW w:type="dxa" w:w="403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RBF kernel, nu = 0.005, gamma = "scale", subsampled</w:t>
            </w:r>
          </w:p>
        </w:tc>
        <w:tc>
          <w:tcPr>
            <w:tcW w:type="dxa" w:w="316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Tight decision boundary around normal behaviour</w:t>
            </w:r>
          </w:p>
        </w:tc>
      </w:tr>
    </w:tbl>
    <w:p/>
    <w:p>
      <w:pPr>
        <w:spacing w:after="60"/>
      </w:pPr>
      <w:r>
        <w:rPr>
          <w:rFonts w:ascii="Calibri" w:hAnsi="Calibri"/>
          <w:b/>
          <w:sz w:val="21"/>
        </w:rPr>
        <w:t xml:space="preserve">Ensemble formula: </w:t>
      </w:r>
      <w:r>
        <w:rPr>
          <w:rFonts w:ascii="Calibri" w:hAnsi="Calibri"/>
          <w:color w:val="595959"/>
          <w:sz w:val="21"/>
        </w:rPr>
        <w:t>anomaly_score = 0.50 × IsoForest + 0.35 × LSTM_reconstruction_error + 0.15 × OCSVM</w:t>
      </w:r>
    </w:p>
    <w:p>
      <w:pPr>
        <w:spacing w:after="60"/>
      </w:pPr>
      <w:r>
        <w:rPr>
          <w:rFonts w:ascii="Calibri" w:hAnsi="Calibri"/>
          <w:b/>
          <w:sz w:val="21"/>
        </w:rPr>
        <w:t xml:space="preserve">Output: </w:t>
      </w:r>
      <w:r>
        <w:rPr>
          <w:rFonts w:ascii="Calibri" w:hAnsi="Calibri"/>
          <w:color w:val="595959"/>
          <w:sz w:val="21"/>
        </w:rPr>
        <w:t>cert_after_anomaly.csv</w:t>
      </w:r>
    </w:p>
    <w:p>
      <w:pPr>
        <w:spacing w:after="200"/>
      </w:pPr>
      <w:r>
        <w:rPr>
          <w:rFonts w:ascii="Calibri" w:hAnsi="Calibri"/>
          <w:b w:val="0"/>
          <w:i/>
          <w:color w:val="595959"/>
          <w:sz w:val="22"/>
        </w:rPr>
        <w:t>Weights were assigned based on the reliability and sensitivity of each model class: Isolation Forest is the most stable general-purpose outlier detector, the LSTM provides temporal context, and OC-SVM adds a tight kernel-based boundary with lower but complementary weight.</w:t>
      </w:r>
    </w:p>
    <w:p>
      <w:pPr>
        <w:spacing w:before="80" w:after="80"/>
        <w:pBdr>
          <w:bottom w:val="single" w:sz="6" w:space="1" w:color="2E75B6"/>
        </w:pBdr>
      </w:pPr>
    </w:p>
    <w:p>
      <w:pPr>
        <w:pStyle w:val="Heading2"/>
        <w:jc w:val="left"/>
      </w:pPr>
      <w:r>
        <w:rPr>
          <w:rFonts w:ascii="Calibri" w:hAnsi="Calibri"/>
          <w:color w:val="2E75B6"/>
          <w:sz w:val="28"/>
        </w:rPr>
        <w:t>Layer 5 — Risk Scoring &amp; Breach Prediction</w:t>
      </w:r>
    </w:p>
    <w:p>
      <w:pPr>
        <w:spacing w:after="120"/>
      </w:pPr>
      <w:r>
        <w:rPr>
          <w:rFonts w:ascii="Calibri" w:hAnsi="Calibri"/>
          <w:b w:val="0"/>
          <w:i w:val="0"/>
          <w:sz w:val="22"/>
        </w:rPr>
        <w:t>Layer 5 combines the anomaly score from Layer 4 with the drift signals from Layer 2 into a single normalized risk score on a 0–10 scale, and generates forward-looking breach predictions.</w:t>
      </w:r>
    </w:p>
    <w:p>
      <w:pPr>
        <w:spacing w:after="60"/>
      </w:pPr>
      <w:r>
        <w:rPr>
          <w:rFonts w:ascii="Calibri" w:hAnsi="Calibri"/>
          <w:b/>
          <w:sz w:val="21"/>
        </w:rPr>
        <w:t xml:space="preserve">Risk formula: </w:t>
      </w:r>
      <w:r>
        <w:rPr>
          <w:rFonts w:ascii="Calibri" w:hAnsi="Calibri"/>
          <w:color w:val="595959"/>
          <w:sz w:val="21"/>
        </w:rPr>
        <w:t>risk_score = 0.50 × anomaly_score  +  0.35 × slope_norm  +  0.15 × accel_norm</w:t>
      </w:r>
    </w:p>
    <w:p>
      <w:pPr>
        <w:spacing w:after="60"/>
      </w:pPr>
      <w:r>
        <w:rPr>
          <w:rFonts w:ascii="Calibri" w:hAnsi="Calibri"/>
          <w:b/>
          <w:sz w:val="21"/>
        </w:rPr>
        <w:t xml:space="preserve">Scale: </w:t>
      </w:r>
      <w:r>
        <w:rPr>
          <w:rFonts w:ascii="Calibri" w:hAnsi="Calibri"/>
          <w:color w:val="595959"/>
          <w:sz w:val="21"/>
        </w:rPr>
        <w:t>0.0 (no risk) to 10.0 (maximum risk)</w:t>
      </w:r>
    </w:p>
    <w:tbl>
      <w:tblPr>
        <w:tblStyle w:val="TableGrid"/>
        <w:tblW w:type="auto" w:w="0"/>
        <w:jc w:val="left"/>
        <w:tblLook w:firstColumn="1" w:firstRow="1" w:lastColumn="0" w:lastRow="0" w:noHBand="0" w:noVBand="1" w:val="04A0"/>
      </w:tblPr>
      <w:tblGrid>
        <w:gridCol w:w="3135"/>
        <w:gridCol w:w="3135"/>
        <w:gridCol w:w="3135"/>
      </w:tblGrid>
      <w:tr>
        <w:tc>
          <w:tcPr>
            <w:tcW w:type="dxa" w:w="2160"/>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Alert Level</w:t>
            </w:r>
          </w:p>
        </w:tc>
        <w:tc>
          <w:tcPr>
            <w:tcW w:type="dxa" w:w="2592"/>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Risk Score Range</w:t>
            </w:r>
          </w:p>
        </w:tc>
        <w:tc>
          <w:tcPr>
            <w:tcW w:type="dxa" w:w="5616"/>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Recommended Action</w:t>
            </w:r>
          </w:p>
        </w:tc>
      </w:tr>
      <w:tr>
        <w:tc>
          <w:tcPr>
            <w:tcW w:type="dxa" w:w="216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NORMAL</w:t>
            </w:r>
          </w:p>
        </w:tc>
        <w:tc>
          <w:tcPr>
            <w:tcW w:type="dxa" w:w="259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0.0 – 2.0</w:t>
            </w:r>
          </w:p>
        </w:tc>
        <w:tc>
          <w:tcPr>
            <w:tcW w:type="dxa" w:w="5616"/>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No action required — routine monitoring</w:t>
            </w:r>
          </w:p>
        </w:tc>
      </w:tr>
      <w:tr>
        <w:tc>
          <w:tcPr>
            <w:tcW w:type="dxa" w:w="216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WATCH</w:t>
            </w:r>
          </w:p>
        </w:tc>
        <w:tc>
          <w:tcPr>
            <w:tcW w:type="dxa" w:w="2592"/>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2.0 – 4.0</w:t>
            </w:r>
          </w:p>
        </w:tc>
        <w:tc>
          <w:tcPr>
            <w:tcW w:type="dxa" w:w="5616"/>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Log and flag for weekly review</w:t>
            </w:r>
          </w:p>
        </w:tc>
      </w:tr>
      <w:tr>
        <w:tc>
          <w:tcPr>
            <w:tcW w:type="dxa" w:w="216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ELEVATED</w:t>
            </w:r>
          </w:p>
        </w:tc>
        <w:tc>
          <w:tcPr>
            <w:tcW w:type="dxa" w:w="259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4.0 – 6.0</w:t>
            </w:r>
          </w:p>
        </w:tc>
        <w:tc>
          <w:tcPr>
            <w:tcW w:type="dxa" w:w="5616"/>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Passive friction interventions (L2–L3)</w:t>
            </w:r>
          </w:p>
        </w:tc>
      </w:tr>
      <w:tr>
        <w:tc>
          <w:tcPr>
            <w:tcW w:type="dxa" w:w="216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HIGH</w:t>
            </w:r>
          </w:p>
        </w:tc>
        <w:tc>
          <w:tcPr>
            <w:tcW w:type="dxa" w:w="2592"/>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6.0 – 8.0</w:t>
            </w:r>
          </w:p>
        </w:tc>
        <w:tc>
          <w:tcPr>
            <w:tcW w:type="dxa" w:w="5616"/>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Manager notification and behavioural training (L4–L5)</w:t>
            </w:r>
          </w:p>
        </w:tc>
      </w:tr>
      <w:tr>
        <w:tc>
          <w:tcPr>
            <w:tcW w:type="dxa" w:w="216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CRITICAL</w:t>
            </w:r>
          </w:p>
        </w:tc>
        <w:tc>
          <w:tcPr>
            <w:tcW w:type="dxa" w:w="259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8.0 – 10.0</w:t>
            </w:r>
          </w:p>
        </w:tc>
        <w:tc>
          <w:tcPr>
            <w:tcW w:type="dxa" w:w="5616"/>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Immediate escalation; consider account restrictions (L6–L7)</w:t>
            </w:r>
          </w:p>
        </w:tc>
      </w:tr>
    </w:tbl>
    <w:p/>
    <w:p>
      <w:pPr>
        <w:spacing w:after="60"/>
      </w:pPr>
      <w:r>
        <w:rPr>
          <w:rFonts w:ascii="Calibri" w:hAnsi="Calibri"/>
          <w:b/>
          <w:sz w:val="21"/>
        </w:rPr>
        <w:t xml:space="preserve">Breach prediction: </w:t>
      </w:r>
      <w:r>
        <w:rPr>
          <w:rFonts w:ascii="Calibri" w:hAnsi="Calibri"/>
          <w:color w:val="595959"/>
          <w:sz w:val="21"/>
        </w:rPr>
        <w:t>Logistic regression on 7-day and 14-day windows; outputs will_breach_7d / will_breach_14d boolean flags and projected_risk_7d / projected_risk_14d float values</w:t>
      </w:r>
    </w:p>
    <w:p>
      <w:pPr>
        <w:spacing w:after="60"/>
      </w:pPr>
      <w:r>
        <w:rPr>
          <w:rFonts w:ascii="Calibri" w:hAnsi="Calibri"/>
          <w:b/>
          <w:sz w:val="21"/>
        </w:rPr>
        <w:t xml:space="preserve">Output: </w:t>
      </w:r>
      <w:r>
        <w:rPr>
          <w:rFonts w:ascii="Calibri" w:hAnsi="Calibri"/>
          <w:color w:val="595959"/>
          <w:sz w:val="21"/>
        </w:rPr>
        <w:t>cert_after_prediction.csv</w:t>
      </w:r>
    </w:p>
    <w:p/>
    <w:p>
      <w:pPr>
        <w:spacing w:before="80" w:after="80"/>
        <w:pBdr>
          <w:bottom w:val="single" w:sz="6" w:space="1" w:color="2E75B6"/>
        </w:pBdr>
      </w:pPr>
    </w:p>
    <w:p>
      <w:pPr>
        <w:pStyle w:val="Heading2"/>
        <w:jc w:val="left"/>
      </w:pPr>
      <w:r>
        <w:rPr>
          <w:rFonts w:ascii="Calibri" w:hAnsi="Calibri"/>
          <w:color w:val="2E75B6"/>
          <w:sz w:val="28"/>
        </w:rPr>
        <w:t>Layer 6 — Personality Profiling</w:t>
      </w:r>
    </w:p>
    <w:p>
      <w:pPr>
        <w:spacing w:after="120"/>
      </w:pPr>
      <w:r>
        <w:rPr>
          <w:rFonts w:ascii="Calibri" w:hAnsi="Calibri"/>
          <w:b w:val="0"/>
          <w:i w:val="0"/>
          <w:sz w:val="22"/>
        </w:rPr>
        <w:t>Each of the 4,000 users is assigned a primary personality dimension. This is used by Layer 7 to select the most effective intervention type for that individual.</w:t>
      </w:r>
    </w:p>
    <w:p>
      <w:pPr>
        <w:spacing w:after="60"/>
      </w:pPr>
      <w:r>
        <w:rPr>
          <w:rFonts w:ascii="Calibri" w:hAnsi="Calibri"/>
          <w:b/>
          <w:sz w:val="21"/>
        </w:rPr>
        <w:t xml:space="preserve">Input features: </w:t>
      </w:r>
      <w:r>
        <w:rPr>
          <w:rFonts w:ascii="Calibri" w:hAnsi="Calibri"/>
          <w:color w:val="595959"/>
          <w:sz w:val="21"/>
        </w:rPr>
        <w:t>OCEAN psychometric scores (Openness, Conscientiousness, Extraversion, Agreeableness, Neuroticism) + behavioral feature clusters</w:t>
      </w:r>
    </w:p>
    <w:tbl>
      <w:tblPr>
        <w:tblStyle w:val="TableGrid"/>
        <w:tblW w:type="auto" w:w="0"/>
        <w:jc w:val="left"/>
        <w:tblLook w:firstColumn="1" w:firstRow="1" w:lastColumn="0" w:lastRow="0" w:noHBand="0" w:noVBand="1" w:val="04A0"/>
      </w:tblPr>
      <w:tblGrid>
        <w:gridCol w:w="3135"/>
        <w:gridCol w:w="3135"/>
        <w:gridCol w:w="3135"/>
      </w:tblGrid>
      <w:tr>
        <w:tc>
          <w:tcPr>
            <w:tcW w:type="dxa" w:w="2304"/>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Personality Type</w:t>
            </w:r>
          </w:p>
        </w:tc>
        <w:tc>
          <w:tcPr>
            <w:tcW w:type="dxa" w:w="1872"/>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Distribution</w:t>
            </w:r>
          </w:p>
        </w:tc>
        <w:tc>
          <w:tcPr>
            <w:tcW w:type="dxa" w:w="6192"/>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Behavioral Profile</w:t>
            </w:r>
          </w:p>
        </w:tc>
      </w:tr>
      <w:tr>
        <w:tc>
          <w:tcPr>
            <w:tcW w:type="dxa" w:w="2304"/>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RISK_TAKER</w:t>
            </w:r>
          </w:p>
        </w:tc>
        <w:tc>
          <w:tcPr>
            <w:tcW w:type="dxa" w:w="187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47.0%</w:t>
            </w:r>
          </w:p>
        </w:tc>
        <w:tc>
          <w:tcPr>
            <w:tcW w:type="dxa" w:w="619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High sensation-seeking; responds to accountability and consequences</w:t>
            </w:r>
          </w:p>
        </w:tc>
      </w:tr>
      <w:tr>
        <w:tc>
          <w:tcPr>
            <w:tcW w:type="dxa" w:w="2304"/>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AUTONOMOUS</w:t>
            </w:r>
          </w:p>
        </w:tc>
        <w:tc>
          <w:tcPr>
            <w:tcW w:type="dxa" w:w="1872"/>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18.3%</w:t>
            </w:r>
          </w:p>
        </w:tc>
        <w:tc>
          <w:tcPr>
            <w:tcW w:type="dxa" w:w="6192"/>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Independent, self-directed; resistant to surveillance-style controls</w:t>
            </w:r>
          </w:p>
        </w:tc>
      </w:tr>
      <w:tr>
        <w:tc>
          <w:tcPr>
            <w:tcW w:type="dxa" w:w="2304"/>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COMPLIANT</w:t>
            </w:r>
          </w:p>
        </w:tc>
        <w:tc>
          <w:tcPr>
            <w:tcW w:type="dxa" w:w="187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16.0%</w:t>
            </w:r>
          </w:p>
        </w:tc>
        <w:tc>
          <w:tcPr>
            <w:tcW w:type="dxa" w:w="619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Rule-following; responds well to policy reminders and norms</w:t>
            </w:r>
          </w:p>
        </w:tc>
      </w:tr>
      <w:tr>
        <w:tc>
          <w:tcPr>
            <w:tcW w:type="dxa" w:w="2304"/>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SOCIAL</w:t>
            </w:r>
          </w:p>
        </w:tc>
        <w:tc>
          <w:tcPr>
            <w:tcW w:type="dxa" w:w="1872"/>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10.4%</w:t>
            </w:r>
          </w:p>
        </w:tc>
        <w:tc>
          <w:tcPr>
            <w:tcW w:type="dxa" w:w="6192"/>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Peer-influenced; responds to team norms and manager relationships</w:t>
            </w:r>
          </w:p>
        </w:tc>
      </w:tr>
      <w:tr>
        <w:tc>
          <w:tcPr>
            <w:tcW w:type="dxa" w:w="2304"/>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CAREFULL</w:t>
            </w:r>
          </w:p>
        </w:tc>
        <w:tc>
          <w:tcPr>
            <w:tcW w:type="dxa" w:w="187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8.3%</w:t>
            </w:r>
          </w:p>
        </w:tc>
        <w:tc>
          <w:tcPr>
            <w:tcW w:type="dxa" w:w="619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Cautious, detail-oriented; benefits from structured guidance</w:t>
            </w:r>
          </w:p>
        </w:tc>
      </w:tr>
    </w:tbl>
    <w:p/>
    <w:p>
      <w:pPr>
        <w:spacing w:after="60"/>
      </w:pPr>
      <w:r>
        <w:rPr>
          <w:rFonts w:ascii="Calibri" w:hAnsi="Calibri"/>
          <w:b/>
          <w:sz w:val="21"/>
        </w:rPr>
        <w:t xml:space="preserve">Output: </w:t>
      </w:r>
      <w:r>
        <w:rPr>
          <w:rFonts w:ascii="Calibri" w:hAnsi="Calibri"/>
          <w:color w:val="595959"/>
          <w:sz w:val="21"/>
        </w:rPr>
        <w:t>cert_personality.csv — personality scores + PRIMARY_DIMENSION per user</w:t>
      </w:r>
    </w:p>
    <w:p/>
    <w:p>
      <w:pPr>
        <w:spacing w:before="80" w:after="80"/>
        <w:pBdr>
          <w:bottom w:val="single" w:sz="6" w:space="1" w:color="2E75B6"/>
        </w:pBdr>
      </w:pPr>
    </w:p>
    <w:p>
      <w:pPr>
        <w:pStyle w:val="Heading2"/>
        <w:jc w:val="left"/>
      </w:pPr>
      <w:r>
        <w:rPr>
          <w:rFonts w:ascii="Calibri" w:hAnsi="Calibri"/>
          <w:color w:val="2E75B6"/>
          <w:sz w:val="28"/>
        </w:rPr>
        <w:t>Layer 7 — Intervention Selection</w:t>
      </w:r>
    </w:p>
    <w:p>
      <w:pPr>
        <w:spacing w:after="120"/>
      </w:pPr>
      <w:r>
        <w:rPr>
          <w:rFonts w:ascii="Calibri" w:hAnsi="Calibri"/>
          <w:b w:val="0"/>
          <w:i w:val="0"/>
          <w:sz w:val="22"/>
        </w:rPr>
        <w:t>Based on the risk score from Layer 5 and personality type from Layer 6, Layer 7 assigns a graduated intervention level to each flagged user.</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720"/>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Level</w:t>
            </w:r>
          </w:p>
        </w:tc>
        <w:tc>
          <w:tcPr>
            <w:tcW w:type="dxa" w:w="2880"/>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Intervention Name</w:t>
            </w:r>
          </w:p>
        </w:tc>
        <w:tc>
          <w:tcPr>
            <w:tcW w:type="dxa" w:w="5760"/>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Description</w:t>
            </w:r>
          </w:p>
        </w:tc>
        <w:tc>
          <w:tcPr>
            <w:tcW w:type="dxa" w:w="1008"/>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Dist.</w:t>
            </w:r>
          </w:p>
        </w:tc>
      </w:tr>
      <w:tr>
        <w:tc>
          <w:tcPr>
            <w:tcW w:type="dxa" w:w="72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L1</w:t>
            </w:r>
          </w:p>
        </w:tc>
        <w:tc>
          <w:tcPr>
            <w:tcW w:type="dxa" w:w="288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Standard Monitoring</w:t>
            </w:r>
          </w:p>
        </w:tc>
        <w:tc>
          <w:tcPr>
            <w:tcW w:type="dxa" w:w="576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Passive background logging; no user-facing action</w:t>
            </w:r>
          </w:p>
        </w:tc>
        <w:tc>
          <w:tcPr>
            <w:tcW w:type="dxa" w:w="100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83.3%</w:t>
            </w:r>
          </w:p>
        </w:tc>
      </w:tr>
      <w:tr>
        <w:tc>
          <w:tcPr>
            <w:tcW w:type="dxa" w:w="72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L2</w:t>
            </w:r>
          </w:p>
        </w:tc>
        <w:tc>
          <w:tcPr>
            <w:tcW w:type="dxa" w:w="288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Passive Friction</w:t>
            </w:r>
          </w:p>
        </w:tc>
        <w:tc>
          <w:tcPr>
            <w:tcW w:type="dxa" w:w="576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Slight delays on sensitive file operations / USB writes</w:t>
            </w:r>
          </w:p>
        </w:tc>
        <w:tc>
          <w:tcPr>
            <w:tcW w:type="dxa" w:w="1008"/>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10.3%</w:t>
            </w:r>
          </w:p>
        </w:tc>
      </w:tr>
      <w:tr>
        <w:tc>
          <w:tcPr>
            <w:tcW w:type="dxa" w:w="72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L3</w:t>
            </w:r>
          </w:p>
        </w:tc>
        <w:tc>
          <w:tcPr>
            <w:tcW w:type="dxa" w:w="288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Warning Banner</w:t>
            </w:r>
          </w:p>
        </w:tc>
        <w:tc>
          <w:tcPr>
            <w:tcW w:type="dxa" w:w="576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User-visible policy reminder when accessing sensitive resources</w:t>
            </w:r>
          </w:p>
        </w:tc>
        <w:tc>
          <w:tcPr>
            <w:tcW w:type="dxa" w:w="100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w:t>
            </w:r>
          </w:p>
        </w:tc>
      </w:tr>
      <w:tr>
        <w:tc>
          <w:tcPr>
            <w:tcW w:type="dxa" w:w="72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L4</w:t>
            </w:r>
          </w:p>
        </w:tc>
        <w:tc>
          <w:tcPr>
            <w:tcW w:type="dxa" w:w="288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Behavioural Training</w:t>
            </w:r>
          </w:p>
        </w:tc>
        <w:tc>
          <w:tcPr>
            <w:tcW w:type="dxa" w:w="576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Assigned security-awareness micro-training module</w:t>
            </w:r>
          </w:p>
        </w:tc>
        <w:tc>
          <w:tcPr>
            <w:tcW w:type="dxa" w:w="1008"/>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w:t>
            </w:r>
          </w:p>
        </w:tc>
      </w:tr>
      <w:tr>
        <w:tc>
          <w:tcPr>
            <w:tcW w:type="dxa" w:w="72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L5</w:t>
            </w:r>
          </w:p>
        </w:tc>
        <w:tc>
          <w:tcPr>
            <w:tcW w:type="dxa" w:w="288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Security Acknowledgment</w:t>
            </w:r>
          </w:p>
        </w:tc>
        <w:tc>
          <w:tcPr>
            <w:tcW w:type="dxa" w:w="576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User must re-confirm acceptable-use policy</w:t>
            </w:r>
          </w:p>
        </w:tc>
        <w:tc>
          <w:tcPr>
            <w:tcW w:type="dxa" w:w="100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w:t>
            </w:r>
          </w:p>
        </w:tc>
      </w:tr>
      <w:tr>
        <w:tc>
          <w:tcPr>
            <w:tcW w:type="dxa" w:w="72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L6</w:t>
            </w:r>
          </w:p>
        </w:tc>
        <w:tc>
          <w:tcPr>
            <w:tcW w:type="dxa" w:w="288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Manager Intervention</w:t>
            </w:r>
          </w:p>
        </w:tc>
        <w:tc>
          <w:tcPr>
            <w:tcW w:type="dxa" w:w="576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Automated alert to direct manager + HR notation</w:t>
            </w:r>
          </w:p>
        </w:tc>
        <w:tc>
          <w:tcPr>
            <w:tcW w:type="dxa" w:w="1008"/>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w:t>
            </w:r>
          </w:p>
        </w:tc>
      </w:tr>
      <w:tr>
        <w:tc>
          <w:tcPr>
            <w:tcW w:type="dxa" w:w="72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L7</w:t>
            </w:r>
          </w:p>
        </w:tc>
        <w:tc>
          <w:tcPr>
            <w:tcW w:type="dxa" w:w="288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Account Lock</w:t>
            </w:r>
          </w:p>
        </w:tc>
        <w:tc>
          <w:tcPr>
            <w:tcW w:type="dxa" w:w="576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Temporary suspension of sensitive system access</w:t>
            </w:r>
          </w:p>
        </w:tc>
        <w:tc>
          <w:tcPr>
            <w:tcW w:type="dxa" w:w="100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w:t>
            </w:r>
          </w:p>
        </w:tc>
      </w:tr>
    </w:tbl>
    <w:p/>
    <w:p>
      <w:pPr>
        <w:spacing w:after="200"/>
      </w:pPr>
      <w:r>
        <w:rPr>
          <w:rFonts w:ascii="Calibri" w:hAnsi="Calibri"/>
          <w:b w:val="0"/>
          <w:i/>
          <w:color w:val="595959"/>
          <w:sz w:val="22"/>
        </w:rPr>
        <w:t>The majority of users (83.3%) require only Level 1 monitoring. This reflects the design goal: most elevated risk scores are transient and resolve without intervention. Higher levels are reserved for persistent high-risk trajectories.</w:t>
      </w:r>
    </w:p>
    <w:p>
      <w:pPr>
        <w:spacing w:before="80" w:after="80"/>
        <w:pBdr>
          <w:bottom w:val="single" w:sz="6" w:space="1" w:color="2E75B6"/>
        </w:pBdr>
      </w:pPr>
    </w:p>
    <w:p>
      <w:pPr>
        <w:pStyle w:val="Heading2"/>
        <w:jc w:val="left"/>
      </w:pPr>
      <w:r>
        <w:rPr>
          <w:rFonts w:ascii="Calibri" w:hAnsi="Calibri"/>
          <w:color w:val="2E75B6"/>
          <w:sz w:val="28"/>
        </w:rPr>
        <w:t>Layer 8 — Q-Learning Policy Optimization</w:t>
      </w:r>
    </w:p>
    <w:p>
      <w:pPr>
        <w:spacing w:after="120"/>
      </w:pPr>
      <w:r>
        <w:rPr>
          <w:rFonts w:ascii="Calibri" w:hAnsi="Calibri"/>
          <w:b w:val="0"/>
          <w:i w:val="0"/>
          <w:sz w:val="22"/>
        </w:rPr>
        <w:t>A tabular Q-learning agent learns the optimal intervention policy by treating each user-day as a state and each intervention level as an action.</w:t>
      </w:r>
    </w:p>
    <w:p>
      <w:pPr>
        <w:spacing w:after="60"/>
      </w:pPr>
      <w:r>
        <w:rPr>
          <w:rFonts w:ascii="Calibri" w:hAnsi="Calibri"/>
          <w:b/>
          <w:sz w:val="21"/>
        </w:rPr>
        <w:t xml:space="preserve">Algorithm: </w:t>
      </w:r>
      <w:r>
        <w:rPr>
          <w:rFonts w:ascii="Calibri" w:hAnsi="Calibri"/>
          <w:color w:val="595959"/>
          <w:sz w:val="21"/>
        </w:rPr>
        <w:t>Tabular Q-Learning (model-free reinforcement learning)</w:t>
      </w:r>
    </w:p>
    <w:p>
      <w:pPr>
        <w:spacing w:after="60"/>
      </w:pPr>
      <w:r>
        <w:rPr>
          <w:rFonts w:ascii="Calibri" w:hAnsi="Calibri"/>
          <w:b/>
          <w:sz w:val="21"/>
        </w:rPr>
        <w:t xml:space="preserve">Learning rate: </w:t>
      </w:r>
      <w:r>
        <w:rPr>
          <w:rFonts w:ascii="Calibri" w:hAnsi="Calibri"/>
          <w:color w:val="595959"/>
          <w:sz w:val="21"/>
        </w:rPr>
        <w:t>α = 0.10</w:t>
      </w:r>
    </w:p>
    <w:p>
      <w:pPr>
        <w:spacing w:after="60"/>
      </w:pPr>
      <w:r>
        <w:rPr>
          <w:rFonts w:ascii="Calibri" w:hAnsi="Calibri"/>
          <w:b/>
          <w:sz w:val="21"/>
        </w:rPr>
        <w:t xml:space="preserve">Discount factor: </w:t>
      </w:r>
      <w:r>
        <w:rPr>
          <w:rFonts w:ascii="Calibri" w:hAnsi="Calibri"/>
          <w:color w:val="595959"/>
          <w:sz w:val="21"/>
        </w:rPr>
        <w:t>γ = 0.90  (balances immediate vs. long-term prevention)</w:t>
      </w:r>
    </w:p>
    <w:p>
      <w:pPr>
        <w:spacing w:after="60"/>
      </w:pPr>
      <w:r>
        <w:rPr>
          <w:rFonts w:ascii="Calibri" w:hAnsi="Calibri"/>
          <w:b/>
          <w:sz w:val="21"/>
        </w:rPr>
        <w:t xml:space="preserve">Exploration: </w:t>
      </w:r>
      <w:r>
        <w:rPr>
          <w:rFonts w:ascii="Calibri" w:hAnsi="Calibri"/>
          <w:color w:val="595959"/>
          <w:sz w:val="21"/>
        </w:rPr>
        <w:t>ε = 0.10  (ε-greedy; 10% random action for exploration)</w:t>
      </w:r>
    </w:p>
    <w:p>
      <w:pPr>
        <w:spacing w:after="60"/>
      </w:pPr>
      <w:r>
        <w:rPr>
          <w:rFonts w:ascii="Calibri" w:hAnsi="Calibri"/>
          <w:b/>
          <w:sz w:val="21"/>
        </w:rPr>
        <w:t xml:space="preserve">Reward signal: </w:t>
      </w:r>
      <w:r>
        <w:rPr>
          <w:rFonts w:ascii="Calibri" w:hAnsi="Calibri"/>
          <w:color w:val="595959"/>
          <w:sz w:val="21"/>
        </w:rPr>
        <w:t>+10 if risk drops below threshold after intervention, −1 per intervention level applied (cost penalty), −5 if breach occurs despite intervention</w:t>
      </w:r>
    </w:p>
    <w:p>
      <w:pPr>
        <w:spacing w:after="60"/>
      </w:pPr>
      <w:r>
        <w:rPr>
          <w:rFonts w:ascii="Calibri" w:hAnsi="Calibri"/>
          <w:b/>
          <w:sz w:val="21"/>
        </w:rPr>
        <w:t xml:space="preserve">Output: </w:t>
      </w:r>
      <w:r>
        <w:rPr>
          <w:rFonts w:ascii="Calibri" w:hAnsi="Calibri"/>
          <w:color w:val="595959"/>
          <w:sz w:val="21"/>
        </w:rPr>
        <w:t>cert_complete.csv — full pipeline output with Q-optimized intervention assignments</w:t>
      </w:r>
    </w:p>
    <w:p>
      <w:pPr>
        <w:spacing w:after="200"/>
      </w:pPr>
      <w:r>
        <w:rPr>
          <w:rFonts w:ascii="Calibri" w:hAnsi="Calibri"/>
          <w:b w:val="0"/>
          <w:i/>
          <w:color w:val="595959"/>
          <w:sz w:val="22"/>
        </w:rPr>
        <w:t>The Q-learning agent learns over the full dataset that lower-level interventions are preferred (lower cost), but escalates automatically when the expected reward from a higher-level action justifies the intrusion on the user.</w:t>
      </w:r>
    </w:p>
    <w:p>
      <w:pPr>
        <w:spacing w:before="80" w:after="80"/>
        <w:pBdr>
          <w:bottom w:val="single" w:sz="6" w:space="1" w:color="2E75B6"/>
        </w:pBdr>
      </w:pPr>
    </w:p>
    <w:p>
      <w:pPr>
        <w:pStyle w:val="Heading2"/>
        <w:jc w:val="left"/>
      </w:pPr>
      <w:r>
        <w:rPr>
          <w:rFonts w:ascii="Calibri" w:hAnsi="Calibri"/>
          <w:color w:val="2E75B6"/>
          <w:sz w:val="28"/>
        </w:rPr>
        <w:t>Layer 9 — Evaluation &amp; Metrics  (Research Questions)</w:t>
      </w:r>
    </w:p>
    <w:p>
      <w:pPr>
        <w:spacing w:after="120"/>
      </w:pPr>
      <w:r>
        <w:rPr>
          <w:rFonts w:ascii="Calibri" w:hAnsi="Calibri"/>
          <w:b w:val="0"/>
          <w:i w:val="0"/>
          <w:sz w:val="22"/>
        </w:rPr>
        <w:t>Layer 9 computes the four research-question metrics that define the performance of the PIRS V2 framework.</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720"/>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RQ</w:t>
            </w:r>
          </w:p>
        </w:tc>
        <w:tc>
          <w:tcPr>
            <w:tcW w:type="dxa" w:w="3456"/>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Research Question</w:t>
            </w:r>
          </w:p>
        </w:tc>
        <w:tc>
          <w:tcPr>
            <w:tcW w:type="dxa" w:w="2592"/>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Metric</w:t>
            </w:r>
          </w:p>
        </w:tc>
        <w:tc>
          <w:tcPr>
            <w:tcW w:type="dxa" w:w="3600"/>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Result</w:t>
            </w:r>
          </w:p>
        </w:tc>
      </w:tr>
      <w:tr>
        <w:tc>
          <w:tcPr>
            <w:tcW w:type="dxa" w:w="72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RQ1</w:t>
            </w:r>
          </w:p>
        </w:tc>
        <w:tc>
          <w:tcPr>
            <w:tcW w:type="dxa" w:w="3456"/>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Can the system predict insider breaches 7–14 days in advance?</w:t>
            </w:r>
          </w:p>
        </w:tc>
        <w:tc>
          <w:tcPr>
            <w:tcW w:type="dxa" w:w="259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EPR (Early Prediction Rate)</w:t>
            </w:r>
          </w:p>
        </w:tc>
        <w:tc>
          <w:tcPr>
            <w:tcW w:type="dxa" w:w="360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EPR(7d) = 40%</w:t>
              <w:br/>
              <w:t>EPR(14d) = 40%</w:t>
              <w:br/>
              <w:t>ROC-AUC = 0.8554</w:t>
            </w:r>
          </w:p>
        </w:tc>
      </w:tr>
      <w:tr>
        <w:tc>
          <w:tcPr>
            <w:tcW w:type="dxa" w:w="72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RQ2</w:t>
            </w:r>
          </w:p>
        </w:tc>
        <w:tc>
          <w:tcPr>
            <w:tcW w:type="dxa" w:w="3456"/>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Do personality-matched interventions improve correction quality?</w:t>
            </w:r>
          </w:p>
        </w:tc>
        <w:tc>
          <w:tcPr>
            <w:tcW w:type="dxa" w:w="2592"/>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PQ (Personality Quality)</w:t>
            </w:r>
          </w:p>
        </w:tc>
        <w:tc>
          <w:tcPr>
            <w:tcW w:type="dxa" w:w="360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PQ = 0.931</w:t>
              <w:br/>
              <w:t>(93.1% personality-matched)</w:t>
            </w:r>
          </w:p>
        </w:tc>
      </w:tr>
      <w:tr>
        <w:tc>
          <w:tcPr>
            <w:tcW w:type="dxa" w:w="72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RQ3</w:t>
            </w:r>
          </w:p>
        </w:tc>
        <w:tc>
          <w:tcPr>
            <w:tcW w:type="dxa" w:w="3456"/>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Can the system explain why a user was flagged?</w:t>
            </w:r>
          </w:p>
        </w:tc>
        <w:tc>
          <w:tcPr>
            <w:tcW w:type="dxa" w:w="259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PIMS (Personal Insight &amp; Model Score)</w:t>
            </w:r>
          </w:p>
        </w:tc>
        <w:tc>
          <w:tcPr>
            <w:tcW w:type="dxa" w:w="360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Personal deviation features</w:t>
              <w:br/>
              <w:t>available per user-day</w:t>
            </w:r>
          </w:p>
        </w:tc>
      </w:tr>
      <w:tr>
        <w:tc>
          <w:tcPr>
            <w:tcW w:type="dxa" w:w="72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RQ4</w:t>
            </w:r>
          </w:p>
        </w:tc>
        <w:tc>
          <w:tcPr>
            <w:tcW w:type="dxa" w:w="3456"/>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What is the economic value of early detection?</w:t>
            </w:r>
          </w:p>
        </w:tc>
        <w:tc>
          <w:tcPr>
            <w:tcW w:type="dxa" w:w="2592"/>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Cost Savings Model</w:t>
            </w:r>
          </w:p>
        </w:tc>
        <w:tc>
          <w:tcPr>
            <w:tcW w:type="dxa" w:w="360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$22.8M estimated</w:t>
              <w:br/>
              <w:t>saved per deployment cycle</w:t>
            </w:r>
          </w:p>
        </w:tc>
      </w:tr>
    </w:tbl>
    <w:p/>
    <w:p>
      <w:r>
        <w:br w:type="page"/>
      </w:r>
    </w:p>
    <w:p>
      <w:pPr>
        <w:pStyle w:val="Heading1"/>
        <w:jc w:val="left"/>
      </w:pPr>
      <w:r>
        <w:rPr>
          <w:rFonts w:ascii="Calibri" w:hAnsi="Calibri"/>
          <w:color w:val="1F3864"/>
          <w:sz w:val="36"/>
        </w:rPr>
        <w:t>5. Ground Truth — 5 Labeled Insider Users (CERT r6.2)</w:t>
      </w:r>
    </w:p>
    <w:p>
      <w:pPr>
        <w:spacing w:before="80" w:after="80"/>
        <w:pBdr>
          <w:bottom w:val="single" w:sz="6" w:space="1" w:color="2E75B6"/>
        </w:pBdr>
      </w:pPr>
    </w:p>
    <w:p>
      <w:pPr>
        <w:spacing w:after="160"/>
      </w:pPr>
      <w:r>
        <w:rPr>
          <w:rFonts w:ascii="Calibri" w:hAnsi="Calibri"/>
          <w:b w:val="0"/>
          <w:i w:val="0"/>
          <w:sz w:val="22"/>
        </w:rPr>
        <w:t>The CERT Insider Threat Dataset r6.2 contains five labeled insider threat scenarios. All validation metrics (ROC-AUC, EPR, early warning windows) are computed against these five users' ground-truth malicious day ranges.</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440"/>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User ID</w:t>
            </w:r>
          </w:p>
        </w:tc>
        <w:tc>
          <w:tcPr>
            <w:tcW w:type="dxa" w:w="1440"/>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Scenario</w:t>
            </w:r>
          </w:p>
        </w:tc>
        <w:tc>
          <w:tcPr>
            <w:tcW w:type="dxa" w:w="2160"/>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Threat Type</w:t>
            </w:r>
          </w:p>
        </w:tc>
        <w:tc>
          <w:tcPr>
            <w:tcW w:type="dxa" w:w="1728"/>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Attack Days</w:t>
            </w:r>
          </w:p>
        </w:tc>
        <w:tc>
          <w:tcPr>
            <w:tcW w:type="dxa" w:w="1440"/>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Days Range</w:t>
            </w:r>
          </w:p>
        </w:tc>
        <w:tc>
          <w:tcPr>
            <w:tcW w:type="dxa" w:w="3600"/>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PIRS V2 Detection</w:t>
            </w:r>
          </w:p>
        </w:tc>
      </w:tr>
      <w:tr>
        <w:tc>
          <w:tcPr>
            <w:tcW w:type="dxa" w:w="144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ACM2278</w:t>
            </w:r>
          </w:p>
        </w:tc>
        <w:tc>
          <w:tcPr>
            <w:tcW w:type="dxa" w:w="144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Scenario 1</w:t>
            </w:r>
          </w:p>
        </w:tc>
        <w:tc>
          <w:tcPr>
            <w:tcW w:type="dxa" w:w="216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Cloud Upload</w:t>
              <w:br/>
              <w:t>(Data Exfiltration)</w:t>
            </w:r>
          </w:p>
        </w:tc>
        <w:tc>
          <w:tcPr>
            <w:tcW w:type="dxa" w:w="172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6 labeled days</w:t>
            </w:r>
          </w:p>
        </w:tc>
        <w:tc>
          <w:tcPr>
            <w:tcW w:type="dxa" w:w="144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Days 229–235</w:t>
            </w:r>
          </w:p>
        </w:tc>
        <w:tc>
          <w:tcPr>
            <w:tcW w:type="dxa" w:w="360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CRITICAL/HIGH at 3-day window</w:t>
              <w:br/>
              <w:t>(cloud upload + external email spike)</w:t>
            </w:r>
          </w:p>
        </w:tc>
      </w:tr>
      <w:tr>
        <w:tc>
          <w:tcPr>
            <w:tcW w:type="dxa" w:w="144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CMP2946</w:t>
            </w:r>
          </w:p>
        </w:tc>
        <w:tc>
          <w:tcPr>
            <w:tcW w:type="dxa" w:w="144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Scenario 2</w:t>
            </w:r>
          </w:p>
        </w:tc>
        <w:tc>
          <w:tcPr>
            <w:tcW w:type="dxa" w:w="216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Malicious Download</w:t>
            </w:r>
          </w:p>
        </w:tc>
        <w:tc>
          <w:tcPr>
            <w:tcW w:type="dxa" w:w="1728"/>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20 labeled days</w:t>
            </w:r>
          </w:p>
        </w:tc>
        <w:tc>
          <w:tcPr>
            <w:tcW w:type="dxa" w:w="144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Days 402–427</w:t>
            </w:r>
          </w:p>
        </w:tc>
        <w:tc>
          <w:tcPr>
            <w:tcW w:type="dxa" w:w="360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CRITICAL/HIGH at 3-day window</w:t>
              <w:br/>
              <w:t>(USB + file-to-USB + HTTP leak features)</w:t>
            </w:r>
          </w:p>
        </w:tc>
      </w:tr>
      <w:tr>
        <w:tc>
          <w:tcPr>
            <w:tcW w:type="dxa" w:w="144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PLJ1771</w:t>
            </w:r>
          </w:p>
        </w:tc>
        <w:tc>
          <w:tcPr>
            <w:tcW w:type="dxa" w:w="144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Scenario 3</w:t>
            </w:r>
          </w:p>
        </w:tc>
        <w:tc>
          <w:tcPr>
            <w:tcW w:type="dxa" w:w="216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Espionage</w:t>
              <w:br/>
              <w:t>(Recruited Spy)</w:t>
            </w:r>
          </w:p>
        </w:tc>
        <w:tc>
          <w:tcPr>
            <w:tcW w:type="dxa" w:w="172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1 labeled day</w:t>
            </w:r>
          </w:p>
        </w:tc>
        <w:tc>
          <w:tcPr>
            <w:tcW w:type="dxa" w:w="144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Day 223</w:t>
            </w:r>
          </w:p>
        </w:tc>
        <w:tc>
          <w:tcPr>
            <w:tcW w:type="dxa" w:w="360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WATCH-level signals only</w:t>
              <w:br/>
              <w:t>(single-day attack, no prior drift)</w:t>
            </w:r>
          </w:p>
        </w:tc>
      </w:tr>
      <w:tr>
        <w:tc>
          <w:tcPr>
            <w:tcW w:type="dxa" w:w="144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CDE1846</w:t>
            </w:r>
          </w:p>
        </w:tc>
        <w:tc>
          <w:tcPr>
            <w:tcW w:type="dxa" w:w="144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Scenario 4</w:t>
            </w:r>
          </w:p>
        </w:tc>
        <w:tc>
          <w:tcPr>
            <w:tcW w:type="dxa" w:w="216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IP Theft</w:t>
              <w:br/>
              <w:t>(Before Resignation)</w:t>
            </w:r>
          </w:p>
        </w:tc>
        <w:tc>
          <w:tcPr>
            <w:tcW w:type="dxa" w:w="1728"/>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45 labeled days</w:t>
            </w:r>
          </w:p>
        </w:tc>
        <w:tc>
          <w:tcPr>
            <w:tcW w:type="dxa" w:w="144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Days 416–479</w:t>
            </w:r>
          </w:p>
        </w:tc>
        <w:tc>
          <w:tcPr>
            <w:tcW w:type="dxa" w:w="360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Detected at EPR 7d/14d window</w:t>
              <w:br/>
              <w:t>(64-day exfiltration arc clearly visible)</w:t>
            </w:r>
          </w:p>
        </w:tc>
      </w:tr>
      <w:tr>
        <w:tc>
          <w:tcPr>
            <w:tcW w:type="dxa" w:w="144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MBG3183</w:t>
            </w:r>
          </w:p>
        </w:tc>
        <w:tc>
          <w:tcPr>
            <w:tcW w:type="dxa" w:w="144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Scenario 5</w:t>
            </w:r>
          </w:p>
        </w:tc>
        <w:tc>
          <w:tcPr>
            <w:tcW w:type="dxa" w:w="216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Sabotage</w:t>
              <w:br/>
              <w:t>(Disgruntled Employee)</w:t>
            </w:r>
          </w:p>
        </w:tc>
        <w:tc>
          <w:tcPr>
            <w:tcW w:type="dxa" w:w="172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1 labeled day</w:t>
            </w:r>
          </w:p>
        </w:tc>
        <w:tc>
          <w:tcPr>
            <w:tcW w:type="dxa" w:w="144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Day 284</w:t>
            </w:r>
          </w:p>
        </w:tc>
        <w:tc>
          <w:tcPr>
            <w:tcW w:type="dxa" w:w="360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WATCH-level signals only</w:t>
              <w:br/>
              <w:t>(single-day attack, inherently hard to predict)</w:t>
            </w:r>
          </w:p>
        </w:tc>
      </w:tr>
    </w:tbl>
    <w:p/>
    <w:p>
      <w:pPr>
        <w:spacing w:after="80"/>
      </w:pPr>
      <w:r>
        <w:rPr>
          <w:rFonts w:ascii="Calibri" w:hAnsi="Calibri"/>
          <w:b/>
          <w:i w:val="0"/>
          <w:sz w:val="22"/>
        </w:rPr>
        <w:t>Detection Notes:</w:t>
      </w:r>
    </w:p>
    <w:p>
      <w:pPr>
        <w:pStyle w:val="ListBullet"/>
        <w:spacing w:after="60"/>
      </w:pPr>
      <w:r>
        <w:rPr>
          <w:rFonts w:ascii="Calibri" w:hAnsi="Calibri"/>
          <w:sz w:val="21"/>
        </w:rPr>
        <w:t>CDE1846 (IP Theft) is the "ideal" PIRS target: a gradual 45-day exfiltration arc creates a clear drift signal that the regression and ensemble layers detect well in advance.</w:t>
      </w:r>
    </w:p>
    <w:p>
      <w:pPr>
        <w:pStyle w:val="ListBullet"/>
        <w:spacing w:after="60"/>
      </w:pPr>
      <w:r>
        <w:rPr>
          <w:rFonts w:ascii="Calibri" w:hAnsi="Calibri"/>
          <w:sz w:val="21"/>
        </w:rPr>
        <w:t>ACM2278 and CMP2946 are detected at short horizons (3 days) because their attacks involve bursts of measurable activity (USB writes, cloud uploads) that spike the anomaly score.</w:t>
      </w:r>
    </w:p>
    <w:p>
      <w:pPr>
        <w:pStyle w:val="ListBullet"/>
        <w:spacing w:after="60"/>
      </w:pPr>
      <w:r>
        <w:rPr>
          <w:rFonts w:ascii="Calibri" w:hAnsi="Calibri"/>
          <w:sz w:val="21"/>
        </w:rPr>
        <w:t>PLJ1771 and MBG3183 are single-day events. No pre-event drift exists, which means no system — regardless of architecture — can reliably predict them at 7–14 day horizons. Their ROC-AUC contribution comes from accurately scoring their attack day as anomalous.</w:t>
      </w:r>
    </w:p>
    <w:p/>
    <w:p>
      <w:r>
        <w:br w:type="page"/>
      </w:r>
    </w:p>
    <w:p>
      <w:pPr>
        <w:pStyle w:val="Heading1"/>
        <w:jc w:val="left"/>
      </w:pPr>
      <w:r>
        <w:rPr>
          <w:rFonts w:ascii="Calibri" w:hAnsi="Calibri"/>
          <w:color w:val="1F3864"/>
          <w:sz w:val="36"/>
        </w:rPr>
        <w:t>6. Data Flow &amp; Pipeline Outputs</w:t>
      </w:r>
    </w:p>
    <w:p>
      <w:pPr>
        <w:spacing w:before="80" w:after="80"/>
        <w:pBdr>
          <w:bottom w:val="single" w:sz="6" w:space="1" w:color="2E75B6"/>
        </w:pBdr>
      </w:pPr>
    </w:p>
    <w:p>
      <w:pPr>
        <w:spacing w:after="160"/>
      </w:pPr>
      <w:r>
        <w:rPr>
          <w:rFonts w:ascii="Calibri" w:hAnsi="Calibri"/>
          <w:b w:val="0"/>
          <w:i w:val="0"/>
          <w:sz w:val="22"/>
        </w:rPr>
        <w:t>Each pipeline layer reads from the previous layer's checkpoint file and writes an enriched output. This design allows any layer to be re-run in isolation when parameters are tuned.</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4032"/>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File</w:t>
            </w:r>
          </w:p>
        </w:tc>
        <w:tc>
          <w:tcPr>
            <w:tcW w:type="dxa" w:w="2160"/>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Produced By</w:t>
            </w:r>
          </w:p>
        </w:tc>
        <w:tc>
          <w:tcPr>
            <w:tcW w:type="dxa" w:w="4032"/>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Contents</w:t>
            </w:r>
          </w:p>
        </w:tc>
        <w:tc>
          <w:tcPr>
            <w:tcW w:type="dxa" w:w="2016"/>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Size (approx.)</w:t>
            </w:r>
          </w:p>
        </w:tc>
      </w:tr>
      <w:tr>
        <w:tc>
          <w:tcPr>
            <w:tcW w:type="dxa" w:w="403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cert_features.csv</w:t>
            </w:r>
          </w:p>
        </w:tc>
        <w:tc>
          <w:tcPr>
            <w:tcW w:type="dxa" w:w="216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Layer 0</w:t>
            </w:r>
          </w:p>
        </w:tc>
        <w:tc>
          <w:tcPr>
            <w:tcW w:type="dxa" w:w="403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32 behavioral features per user-day</w:t>
            </w:r>
          </w:p>
        </w:tc>
        <w:tc>
          <w:tcPr>
            <w:tcW w:type="dxa" w:w="2016"/>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1,393,129 rows</w:t>
            </w:r>
          </w:p>
        </w:tc>
      </w:tr>
      <w:tr>
        <w:tc>
          <w:tcPr>
            <w:tcW w:type="dxa" w:w="4032"/>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cert_after_drift.csv</w:t>
            </w:r>
          </w:p>
        </w:tc>
        <w:tc>
          <w:tcPr>
            <w:tcW w:type="dxa" w:w="216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Layer 2</w:t>
            </w:r>
          </w:p>
        </w:tc>
        <w:tc>
          <w:tcPr>
            <w:tcW w:type="dxa" w:w="4032"/>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+ 27 deviation scores + drift_score/accel</w:t>
            </w:r>
          </w:p>
        </w:tc>
        <w:tc>
          <w:tcPr>
            <w:tcW w:type="dxa" w:w="2016"/>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1,393,129 rows</w:t>
            </w:r>
          </w:p>
        </w:tc>
      </w:tr>
      <w:tr>
        <w:tc>
          <w:tcPr>
            <w:tcW w:type="dxa" w:w="403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cert_after_anomaly.csv</w:t>
            </w:r>
          </w:p>
        </w:tc>
        <w:tc>
          <w:tcPr>
            <w:tcW w:type="dxa" w:w="216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Layer 4</w:t>
            </w:r>
          </w:p>
        </w:tc>
        <w:tc>
          <w:tcPr>
            <w:tcW w:type="dxa" w:w="403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 isoforest/lstm/ocsvm/anomaly_score</w:t>
            </w:r>
          </w:p>
        </w:tc>
        <w:tc>
          <w:tcPr>
            <w:tcW w:type="dxa" w:w="2016"/>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1,393,129 rows</w:t>
            </w:r>
          </w:p>
        </w:tc>
      </w:tr>
      <w:tr>
        <w:tc>
          <w:tcPr>
            <w:tcW w:type="dxa" w:w="4032"/>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cert_after_prediction.csv</w:t>
            </w:r>
          </w:p>
        </w:tc>
        <w:tc>
          <w:tcPr>
            <w:tcW w:type="dxa" w:w="216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Layer 5</w:t>
            </w:r>
          </w:p>
        </w:tc>
        <w:tc>
          <w:tcPr>
            <w:tcW w:type="dxa" w:w="4032"/>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 risk_score + alert_level + breach flags</w:t>
            </w:r>
          </w:p>
        </w:tc>
        <w:tc>
          <w:tcPr>
            <w:tcW w:type="dxa" w:w="2016"/>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1,393,129 rows</w:t>
            </w:r>
          </w:p>
        </w:tc>
      </w:tr>
      <w:tr>
        <w:tc>
          <w:tcPr>
            <w:tcW w:type="dxa" w:w="403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cert_personality.csv</w:t>
            </w:r>
          </w:p>
        </w:tc>
        <w:tc>
          <w:tcPr>
            <w:tcW w:type="dxa" w:w="216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Layer 6</w:t>
            </w:r>
          </w:p>
        </w:tc>
        <w:tc>
          <w:tcPr>
            <w:tcW w:type="dxa" w:w="403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Per-user OCEAN scores + PRIMARY_DIMENSION</w:t>
            </w:r>
          </w:p>
        </w:tc>
        <w:tc>
          <w:tcPr>
            <w:tcW w:type="dxa" w:w="2016"/>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4,000 rows</w:t>
            </w:r>
          </w:p>
        </w:tc>
      </w:tr>
      <w:tr>
        <w:tc>
          <w:tcPr>
            <w:tcW w:type="dxa" w:w="4032"/>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cert_complete.csv</w:t>
            </w:r>
          </w:p>
        </w:tc>
        <w:tc>
          <w:tcPr>
            <w:tcW w:type="dxa" w:w="216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Layer 8</w:t>
            </w:r>
          </w:p>
        </w:tc>
        <w:tc>
          <w:tcPr>
            <w:tcW w:type="dxa" w:w="4032"/>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Full pipeline output, all columns</w:t>
            </w:r>
          </w:p>
        </w:tc>
        <w:tc>
          <w:tcPr>
            <w:tcW w:type="dxa" w:w="2016"/>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1,393,129 rows</w:t>
            </w:r>
          </w:p>
        </w:tc>
      </w:tr>
      <w:tr>
        <w:tc>
          <w:tcPr>
            <w:tcW w:type="dxa" w:w="403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cert_metrics.csv</w:t>
            </w:r>
          </w:p>
        </w:tc>
        <w:tc>
          <w:tcPr>
            <w:tcW w:type="dxa" w:w="216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Layer 9</w:t>
            </w:r>
          </w:p>
        </w:tc>
        <w:tc>
          <w:tcPr>
            <w:tcW w:type="dxa" w:w="403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RQ1–RQ4 summary metrics</w:t>
            </w:r>
          </w:p>
        </w:tc>
        <w:tc>
          <w:tcPr>
            <w:tcW w:type="dxa" w:w="2016"/>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1 row</w:t>
            </w:r>
          </w:p>
        </w:tc>
      </w:tr>
      <w:tr>
        <w:tc>
          <w:tcPr>
            <w:tcW w:type="dxa" w:w="4032"/>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cert_early_warning.csv</w:t>
            </w:r>
          </w:p>
        </w:tc>
        <w:tc>
          <w:tcPr>
            <w:tcW w:type="dxa" w:w="216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Layer 5</w:t>
            </w:r>
          </w:p>
        </w:tc>
        <w:tc>
          <w:tcPr>
            <w:tcW w:type="dxa" w:w="4032"/>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Risk &amp; breach prediction at 3/7/10/14d</w:t>
            </w:r>
          </w:p>
        </w:tc>
        <w:tc>
          <w:tcPr>
            <w:tcW w:type="dxa" w:w="2016"/>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5 rows (insiders)</w:t>
            </w:r>
          </w:p>
        </w:tc>
      </w:tr>
      <w:tr>
        <w:tc>
          <w:tcPr>
            <w:tcW w:type="dxa" w:w="403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cert_validation_summary.csv</w:t>
            </w:r>
          </w:p>
        </w:tc>
        <w:tc>
          <w:tcPr>
            <w:tcW w:type="dxa" w:w="216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Validator</w:t>
            </w:r>
          </w:p>
        </w:tc>
        <w:tc>
          <w:tcPr>
            <w:tcW w:type="dxa" w:w="403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ROC-AUC, precision, recall, F1</w:t>
            </w:r>
          </w:p>
        </w:tc>
        <w:tc>
          <w:tcPr>
            <w:tcW w:type="dxa" w:w="2016"/>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1 row</w:t>
            </w:r>
          </w:p>
        </w:tc>
      </w:tr>
      <w:tr>
        <w:tc>
          <w:tcPr>
            <w:tcW w:type="dxa" w:w="4032"/>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cert_validation_early_warning.csv</w:t>
            </w:r>
          </w:p>
        </w:tc>
        <w:tc>
          <w:tcPr>
            <w:tcW w:type="dxa" w:w="216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Validator</w:t>
            </w:r>
          </w:p>
        </w:tc>
        <w:tc>
          <w:tcPr>
            <w:tcW w:type="dxa" w:w="4032"/>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Early warning per insider per window</w:t>
            </w:r>
          </w:p>
        </w:tc>
        <w:tc>
          <w:tcPr>
            <w:tcW w:type="dxa" w:w="2016"/>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5 rows</w:t>
            </w:r>
          </w:p>
        </w:tc>
      </w:tr>
      <w:tr>
        <w:tc>
          <w:tcPr>
            <w:tcW w:type="dxa" w:w="403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plots/insider_trajectories.png</w:t>
            </w:r>
          </w:p>
        </w:tc>
        <w:tc>
          <w:tcPr>
            <w:tcW w:type="dxa" w:w="216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Validator</w:t>
            </w:r>
          </w:p>
        </w:tc>
        <w:tc>
          <w:tcPr>
            <w:tcW w:type="dxa" w:w="403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Risk trajectory plot — 5 insiders</w:t>
            </w:r>
          </w:p>
        </w:tc>
        <w:tc>
          <w:tcPr>
            <w:tcW w:type="dxa" w:w="2016"/>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PNG image</w:t>
            </w:r>
          </w:p>
        </w:tc>
      </w:tr>
      <w:tr>
        <w:tc>
          <w:tcPr>
            <w:tcW w:type="dxa" w:w="4032"/>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plots/pirs_v2_architecture.png</w:t>
            </w:r>
          </w:p>
        </w:tc>
        <w:tc>
          <w:tcPr>
            <w:tcW w:type="dxa" w:w="216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draw_architecture.py</w:t>
            </w:r>
          </w:p>
        </w:tc>
        <w:tc>
          <w:tcPr>
            <w:tcW w:type="dxa" w:w="4032"/>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Full architecture diagram</w:t>
            </w:r>
          </w:p>
        </w:tc>
        <w:tc>
          <w:tcPr>
            <w:tcW w:type="dxa" w:w="2016"/>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PNG image</w:t>
            </w:r>
          </w:p>
        </w:tc>
      </w:tr>
    </w:tbl>
    <w:p/>
    <w:p>
      <w:r>
        <w:br w:type="page"/>
      </w:r>
    </w:p>
    <w:p>
      <w:pPr>
        <w:pStyle w:val="Heading1"/>
        <w:jc w:val="left"/>
      </w:pPr>
      <w:r>
        <w:rPr>
          <w:rFonts w:ascii="Calibri" w:hAnsi="Calibri"/>
          <w:color w:val="1F3864"/>
          <w:sz w:val="36"/>
        </w:rPr>
        <w:t>7. Validation Methodology</w:t>
      </w:r>
    </w:p>
    <w:p>
      <w:pPr>
        <w:spacing w:before="80" w:after="80"/>
        <w:pBdr>
          <w:bottom w:val="single" w:sz="6" w:space="1" w:color="2E75B6"/>
        </w:pBdr>
      </w:pPr>
    </w:p>
    <w:p>
      <w:pPr>
        <w:spacing w:after="160"/>
      </w:pPr>
      <w:r>
        <w:rPr>
          <w:rFonts w:ascii="Calibri" w:hAnsi="Calibri"/>
          <w:b w:val="0"/>
          <w:i w:val="0"/>
          <w:sz w:val="22"/>
        </w:rPr>
        <w:t>Because PIRS V2 is an unsupervised system during training (no labels used), validation is performed post-hoc by comparing output risk scores against the known ground-truth insider labels from CERT r6.2.</w:t>
      </w:r>
    </w:p>
    <w:p>
      <w:pPr>
        <w:pStyle w:val="Heading2"/>
        <w:jc w:val="left"/>
      </w:pPr>
      <w:r>
        <w:rPr>
          <w:rFonts w:ascii="Calibri" w:hAnsi="Calibri"/>
          <w:color w:val="2E75B6"/>
          <w:sz w:val="28"/>
        </w:rPr>
        <w:t>ROC-AUC Evaluation</w:t>
      </w:r>
    </w:p>
    <w:p>
      <w:pPr>
        <w:spacing w:after="120"/>
      </w:pPr>
      <w:r>
        <w:rPr>
          <w:rFonts w:ascii="Calibri" w:hAnsi="Calibri"/>
          <w:b w:val="0"/>
          <w:i w:val="0"/>
          <w:sz w:val="22"/>
        </w:rPr>
        <w:t>The Receiver Operating Characteristic Area Under the Curve (ROC-AUC) measures how well the risk_score separates malicious days (insider labeled) from normal days across all possible threshold settings.</w:t>
      </w:r>
    </w:p>
    <w:p>
      <w:pPr>
        <w:spacing w:after="60"/>
      </w:pPr>
      <w:r>
        <w:rPr>
          <w:rFonts w:ascii="Calibri" w:hAnsi="Calibri"/>
          <w:b/>
          <w:sz w:val="21"/>
        </w:rPr>
        <w:t xml:space="preserve">ROC-AUC score: </w:t>
      </w:r>
      <w:r>
        <w:rPr>
          <w:rFonts w:ascii="Calibri" w:hAnsi="Calibri"/>
          <w:color w:val="595959"/>
          <w:sz w:val="21"/>
        </w:rPr>
        <w:t>0.8554</w:t>
      </w:r>
    </w:p>
    <w:p>
      <w:pPr>
        <w:spacing w:after="60"/>
      </w:pPr>
      <w:r>
        <w:rPr>
          <w:rFonts w:ascii="Calibri" w:hAnsi="Calibri"/>
          <w:b/>
          <w:sz w:val="21"/>
        </w:rPr>
        <w:t xml:space="preserve">Random baseline: </w:t>
      </w:r>
      <w:r>
        <w:rPr>
          <w:rFonts w:ascii="Calibri" w:hAnsi="Calibri"/>
          <w:color w:val="595959"/>
          <w:sz w:val="21"/>
        </w:rPr>
        <w:t>0.5000  (a score of 0.5 = no better than chance)</w:t>
      </w:r>
    </w:p>
    <w:p>
      <w:pPr>
        <w:spacing w:after="60"/>
      </w:pPr>
      <w:r>
        <w:rPr>
          <w:rFonts w:ascii="Calibri" w:hAnsi="Calibri"/>
          <w:b/>
          <w:sz w:val="21"/>
        </w:rPr>
        <w:t xml:space="preserve">Interpretation: </w:t>
      </w:r>
      <w:r>
        <w:rPr>
          <w:rFonts w:ascii="Calibri" w:hAnsi="Calibri"/>
          <w:color w:val="595959"/>
          <w:sz w:val="21"/>
        </w:rPr>
        <w:t>A score of 0.8554 means that for a randomly chosen (malicious day, normal day) pair, PIRS V2 assigns a higher risk score to the malicious day 85.54% of the time.</w:t>
      </w:r>
    </w:p>
    <w:p/>
    <w:p>
      <w:pPr>
        <w:pStyle w:val="Heading2"/>
        <w:jc w:val="left"/>
      </w:pPr>
      <w:r>
        <w:rPr>
          <w:rFonts w:ascii="Calibri" w:hAnsi="Calibri"/>
          <w:color w:val="2E75B6"/>
          <w:sz w:val="28"/>
        </w:rPr>
        <w:t>Early Warning Rate (EPR)</w:t>
      </w:r>
    </w:p>
    <w:p>
      <w:pPr>
        <w:spacing w:after="120"/>
      </w:pPr>
      <w:r>
        <w:rPr>
          <w:rFonts w:ascii="Calibri" w:hAnsi="Calibri"/>
          <w:b w:val="0"/>
          <w:i w:val="0"/>
          <w:sz w:val="22"/>
        </w:rPr>
        <w:t>EPR measures whether the system raises an alert for an insider before the first malicious action occurs. Two methods are used:</w:t>
      </w:r>
    </w:p>
    <w:p>
      <w:pPr>
        <w:pStyle w:val="ListBullet"/>
        <w:spacing w:after="60"/>
      </w:pPr>
      <w:r>
        <w:rPr>
          <w:rFonts w:ascii="Calibri" w:hAnsi="Calibri"/>
          <w:sz w:val="21"/>
        </w:rPr>
        <w:t>Strict window: Was the user's risk score above the HIGH threshold (6.0) on every day in the N-day period before the first attack? (N = 7 or 14)</w:t>
      </w:r>
    </w:p>
    <w:p>
      <w:pPr>
        <w:pStyle w:val="ListBullet"/>
        <w:spacing w:after="60"/>
      </w:pPr>
      <w:r>
        <w:rPr>
          <w:rFonts w:ascii="Calibri" w:hAnsi="Calibri"/>
          <w:sz w:val="21"/>
        </w:rPr>
        <w:t>EPR (any-day): Was the user flagged at HIGH or above on at least one day in the N-day window before the attack? This is the reported 40% figure.</w:t>
      </w:r>
    </w:p>
    <w:p/>
    <w:p>
      <w:pPr>
        <w:pStyle w:val="Heading2"/>
        <w:jc w:val="left"/>
      </w:pPr>
      <w:r>
        <w:rPr>
          <w:rFonts w:ascii="Calibri" w:hAnsi="Calibri"/>
          <w:color w:val="2E75B6"/>
          <w:sz w:val="28"/>
        </w:rPr>
        <w:t>Early Warning Table (cert_validator.py output)</w:t>
      </w:r>
    </w:p>
    <w:tbl>
      <w:tblPr>
        <w:tblStyle w:val="TableGrid"/>
        <w:tblW w:type="auto" w:w="0"/>
        <w:jc w:val="left"/>
        <w:tblLook w:firstColumn="1" w:firstRow="1" w:lastColumn="0" w:lastRow="0" w:noHBand="0" w:noVBand="1" w:val="04A0"/>
      </w:tblPr>
      <w:tblGrid>
        <w:gridCol w:w="1176"/>
        <w:gridCol w:w="1176"/>
        <w:gridCol w:w="1176"/>
        <w:gridCol w:w="1176"/>
        <w:gridCol w:w="1176"/>
        <w:gridCol w:w="1176"/>
        <w:gridCol w:w="1176"/>
        <w:gridCol w:w="1176"/>
      </w:tblGrid>
      <w:tr>
        <w:tc>
          <w:tcPr>
            <w:tcW w:type="dxa" w:w="1296"/>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User</w:t>
            </w:r>
          </w:p>
        </w:tc>
        <w:tc>
          <w:tcPr>
            <w:tcW w:type="dxa" w:w="1872"/>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Threat Type</w:t>
            </w:r>
          </w:p>
        </w:tc>
        <w:tc>
          <w:tcPr>
            <w:tcW w:type="dxa" w:w="1872"/>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First Attack Day</w:t>
            </w:r>
          </w:p>
        </w:tc>
        <w:tc>
          <w:tcPr>
            <w:tcW w:type="dxa" w:w="1008"/>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@14d</w:t>
            </w:r>
          </w:p>
        </w:tc>
        <w:tc>
          <w:tcPr>
            <w:tcW w:type="dxa" w:w="1008"/>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@10d</w:t>
            </w:r>
          </w:p>
        </w:tc>
        <w:tc>
          <w:tcPr>
            <w:tcW w:type="dxa" w:w="1008"/>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@7d</w:t>
            </w:r>
          </w:p>
        </w:tc>
        <w:tc>
          <w:tcPr>
            <w:tcW w:type="dxa" w:w="1008"/>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@3d</w:t>
            </w:r>
          </w:p>
        </w:tc>
        <w:tc>
          <w:tcPr>
            <w:tcW w:type="dxa" w:w="1296"/>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Peak Risk</w:t>
            </w:r>
          </w:p>
        </w:tc>
      </w:tr>
      <w:tr>
        <w:tc>
          <w:tcPr>
            <w:tcW w:type="dxa" w:w="1296"/>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ACM2278</w:t>
            </w:r>
          </w:p>
        </w:tc>
        <w:tc>
          <w:tcPr>
            <w:tcW w:type="dxa" w:w="187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Cloud Upload</w:t>
            </w:r>
          </w:p>
        </w:tc>
        <w:tc>
          <w:tcPr>
            <w:tcW w:type="dxa" w:w="187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Day 229</w:t>
            </w:r>
          </w:p>
        </w:tc>
        <w:tc>
          <w:tcPr>
            <w:tcW w:type="dxa" w:w="100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WATCH</w:t>
            </w:r>
          </w:p>
        </w:tc>
        <w:tc>
          <w:tcPr>
            <w:tcW w:type="dxa" w:w="100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WATCH</w:t>
            </w:r>
          </w:p>
        </w:tc>
        <w:tc>
          <w:tcPr>
            <w:tcW w:type="dxa" w:w="100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WATCH</w:t>
            </w:r>
          </w:p>
        </w:tc>
        <w:tc>
          <w:tcPr>
            <w:tcW w:type="dxa" w:w="100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CRITICAL</w:t>
            </w:r>
          </w:p>
        </w:tc>
        <w:tc>
          <w:tcPr>
            <w:tcW w:type="dxa" w:w="1296"/>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7.82</w:t>
            </w:r>
          </w:p>
        </w:tc>
      </w:tr>
      <w:tr>
        <w:tc>
          <w:tcPr>
            <w:tcW w:type="dxa" w:w="1296"/>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CMP2946</w:t>
            </w:r>
          </w:p>
        </w:tc>
        <w:tc>
          <w:tcPr>
            <w:tcW w:type="dxa" w:w="1872"/>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USB Theft</w:t>
            </w:r>
          </w:p>
        </w:tc>
        <w:tc>
          <w:tcPr>
            <w:tcW w:type="dxa" w:w="1872"/>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Day 402</w:t>
            </w:r>
          </w:p>
        </w:tc>
        <w:tc>
          <w:tcPr>
            <w:tcW w:type="dxa" w:w="1008"/>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WATCH</w:t>
            </w:r>
          </w:p>
        </w:tc>
        <w:tc>
          <w:tcPr>
            <w:tcW w:type="dxa" w:w="1008"/>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WATCH</w:t>
            </w:r>
          </w:p>
        </w:tc>
        <w:tc>
          <w:tcPr>
            <w:tcW w:type="dxa" w:w="1008"/>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WATCH</w:t>
            </w:r>
          </w:p>
        </w:tc>
        <w:tc>
          <w:tcPr>
            <w:tcW w:type="dxa" w:w="1008"/>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HIGH</w:t>
            </w:r>
          </w:p>
        </w:tc>
        <w:tc>
          <w:tcPr>
            <w:tcW w:type="dxa" w:w="1296"/>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8.41</w:t>
            </w:r>
          </w:p>
        </w:tc>
      </w:tr>
      <w:tr>
        <w:tc>
          <w:tcPr>
            <w:tcW w:type="dxa" w:w="1296"/>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PLJ1771</w:t>
            </w:r>
          </w:p>
        </w:tc>
        <w:tc>
          <w:tcPr>
            <w:tcW w:type="dxa" w:w="187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Espionage</w:t>
            </w:r>
          </w:p>
        </w:tc>
        <w:tc>
          <w:tcPr>
            <w:tcW w:type="dxa" w:w="187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Day 223</w:t>
            </w:r>
          </w:p>
        </w:tc>
        <w:tc>
          <w:tcPr>
            <w:tcW w:type="dxa" w:w="100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NORMAL</w:t>
            </w:r>
          </w:p>
        </w:tc>
        <w:tc>
          <w:tcPr>
            <w:tcW w:type="dxa" w:w="100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NORMAL</w:t>
            </w:r>
          </w:p>
        </w:tc>
        <w:tc>
          <w:tcPr>
            <w:tcW w:type="dxa" w:w="100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NORMAL</w:t>
            </w:r>
          </w:p>
        </w:tc>
        <w:tc>
          <w:tcPr>
            <w:tcW w:type="dxa" w:w="100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NORMAL</w:t>
            </w:r>
          </w:p>
        </w:tc>
        <w:tc>
          <w:tcPr>
            <w:tcW w:type="dxa" w:w="1296"/>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3.12</w:t>
            </w:r>
          </w:p>
        </w:tc>
      </w:tr>
      <w:tr>
        <w:tc>
          <w:tcPr>
            <w:tcW w:type="dxa" w:w="1296"/>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CDE1846</w:t>
            </w:r>
          </w:p>
        </w:tc>
        <w:tc>
          <w:tcPr>
            <w:tcW w:type="dxa" w:w="1872"/>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IP Theft</w:t>
            </w:r>
          </w:p>
        </w:tc>
        <w:tc>
          <w:tcPr>
            <w:tcW w:type="dxa" w:w="1872"/>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Day 416</w:t>
            </w:r>
          </w:p>
        </w:tc>
        <w:tc>
          <w:tcPr>
            <w:tcW w:type="dxa" w:w="1008"/>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WATCH</w:t>
            </w:r>
          </w:p>
        </w:tc>
        <w:tc>
          <w:tcPr>
            <w:tcW w:type="dxa" w:w="1008"/>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WATCH</w:t>
            </w:r>
          </w:p>
        </w:tc>
        <w:tc>
          <w:tcPr>
            <w:tcW w:type="dxa" w:w="1008"/>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HIGH</w:t>
            </w:r>
          </w:p>
        </w:tc>
        <w:tc>
          <w:tcPr>
            <w:tcW w:type="dxa" w:w="1008"/>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HIGH</w:t>
            </w:r>
          </w:p>
        </w:tc>
        <w:tc>
          <w:tcPr>
            <w:tcW w:type="dxa" w:w="1296"/>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9.56</w:t>
            </w:r>
          </w:p>
        </w:tc>
      </w:tr>
      <w:tr>
        <w:tc>
          <w:tcPr>
            <w:tcW w:type="dxa" w:w="1296"/>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MBG3183</w:t>
            </w:r>
          </w:p>
        </w:tc>
        <w:tc>
          <w:tcPr>
            <w:tcW w:type="dxa" w:w="187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Sabotage</w:t>
            </w:r>
          </w:p>
        </w:tc>
        <w:tc>
          <w:tcPr>
            <w:tcW w:type="dxa" w:w="1872"/>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Day 284</w:t>
            </w:r>
          </w:p>
        </w:tc>
        <w:tc>
          <w:tcPr>
            <w:tcW w:type="dxa" w:w="100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NORMAL</w:t>
            </w:r>
          </w:p>
        </w:tc>
        <w:tc>
          <w:tcPr>
            <w:tcW w:type="dxa" w:w="100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NORMAL</w:t>
            </w:r>
          </w:p>
        </w:tc>
        <w:tc>
          <w:tcPr>
            <w:tcW w:type="dxa" w:w="100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NORMAL</w:t>
            </w:r>
          </w:p>
        </w:tc>
        <w:tc>
          <w:tcPr>
            <w:tcW w:type="dxa" w:w="100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NORMAL</w:t>
            </w:r>
          </w:p>
        </w:tc>
        <w:tc>
          <w:tcPr>
            <w:tcW w:type="dxa" w:w="1296"/>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2.97</w:t>
            </w:r>
          </w:p>
        </w:tc>
      </w:tr>
    </w:tbl>
    <w:p/>
    <w:p>
      <w:r>
        <w:br w:type="page"/>
      </w:r>
    </w:p>
    <w:p>
      <w:pPr>
        <w:pStyle w:val="Heading1"/>
        <w:jc w:val="left"/>
      </w:pPr>
      <w:r>
        <w:rPr>
          <w:rFonts w:ascii="Calibri" w:hAnsi="Calibri"/>
          <w:color w:val="1F3864"/>
          <w:sz w:val="36"/>
        </w:rPr>
        <w:t>8. Limitations &amp; Future Work</w:t>
      </w:r>
    </w:p>
    <w:p>
      <w:pPr>
        <w:spacing w:before="80" w:after="80"/>
        <w:pBdr>
          <w:bottom w:val="single" w:sz="6" w:space="1" w:color="2E75B6"/>
        </w:pBdr>
      </w:pPr>
    </w:p>
    <w:p>
      <w:pPr>
        <w:pStyle w:val="Heading2"/>
        <w:jc w:val="left"/>
      </w:pPr>
      <w:r>
        <w:rPr>
          <w:rFonts w:ascii="Calibri" w:hAnsi="Calibri"/>
          <w:color w:val="2E75B6"/>
          <w:sz w:val="28"/>
        </w:rPr>
        <w:t>Current Limitations</w:t>
      </w:r>
    </w:p>
    <w:p>
      <w:pPr>
        <w:pStyle w:val="ListBullet"/>
        <w:spacing w:after="60"/>
      </w:pPr>
      <w:r>
        <w:rPr>
          <w:rFonts w:ascii="Calibri" w:hAnsi="Calibri"/>
          <w:sz w:val="21"/>
        </w:rPr>
        <w:t>Single-day insiders (PLJ1771, MBG3183) are fundamentally unpredictable at 7–14 day horizons because they exhibit no prior behavioral drift — the attack is a single spontaneous action.</w:t>
      </w:r>
    </w:p>
    <w:p>
      <w:pPr>
        <w:pStyle w:val="ListBullet"/>
        <w:spacing w:after="60"/>
      </w:pPr>
      <w:r>
        <w:rPr>
          <w:rFonts w:ascii="Calibri" w:hAnsi="Calibri"/>
          <w:sz w:val="21"/>
        </w:rPr>
        <w:t>CERT r6.2 is a synthetic dataset. Real-world insider behavior may be more subtle, noisy, or context-dependent than the simulated scenarios.</w:t>
      </w:r>
    </w:p>
    <w:p>
      <w:pPr>
        <w:pStyle w:val="ListBullet"/>
        <w:spacing w:after="60"/>
      </w:pPr>
      <w:r>
        <w:rPr>
          <w:rFonts w:ascii="Calibri" w:hAnsi="Calibri"/>
          <w:sz w:val="21"/>
        </w:rPr>
        <w:t>The 60-day personal baseline requires sufficient historical data; the system has limited capability for users who joined the organization recently.</w:t>
      </w:r>
    </w:p>
    <w:p>
      <w:pPr>
        <w:pStyle w:val="ListBullet"/>
        <w:spacing w:after="60"/>
      </w:pPr>
      <w:r>
        <w:rPr>
          <w:rFonts w:ascii="Calibri" w:hAnsi="Calibri"/>
          <w:sz w:val="21"/>
        </w:rPr>
        <w:t>HTTP feature extraction took 4–5 hours on the full 117M-row file; real-time deployment would require streaming ingestion infrastructure.</w:t>
      </w:r>
    </w:p>
    <w:p>
      <w:pPr>
        <w:pStyle w:val="ListBullet"/>
        <w:spacing w:after="60"/>
      </w:pPr>
      <w:r>
        <w:rPr>
          <w:rFonts w:ascii="Calibri" w:hAnsi="Calibri"/>
          <w:sz w:val="21"/>
        </w:rPr>
        <w:t>The Q-learning agent is tabular (finite state/action space); a deep RL approach may generalize better to unseen user types.</w:t>
      </w:r>
    </w:p>
    <w:p/>
    <w:p>
      <w:pPr>
        <w:pStyle w:val="Heading2"/>
        <w:jc w:val="left"/>
      </w:pPr>
      <w:r>
        <w:rPr>
          <w:rFonts w:ascii="Calibri" w:hAnsi="Calibri"/>
          <w:color w:val="2E75B6"/>
          <w:sz w:val="28"/>
        </w:rPr>
        <w:t>Planned Extensions</w:t>
      </w:r>
    </w:p>
    <w:p>
      <w:pPr>
        <w:pStyle w:val="ListBullet"/>
        <w:spacing w:after="60"/>
      </w:pPr>
      <w:r>
        <w:rPr>
          <w:rFonts w:ascii="Calibri" w:hAnsi="Calibri"/>
          <w:sz w:val="21"/>
        </w:rPr>
        <w:t>LANL Dataset: Apply the same 9-layer pipeline to the Los Alamos National Laboratory (LANL) authentication and process event dataset to validate generalizability.</w:t>
      </w:r>
    </w:p>
    <w:p>
      <w:pPr>
        <w:pStyle w:val="ListBullet"/>
        <w:spacing w:after="60"/>
      </w:pPr>
      <w:r>
        <w:rPr>
          <w:rFonts w:ascii="Calibri" w:hAnsi="Calibri"/>
          <w:sz w:val="21"/>
        </w:rPr>
        <w:t>Graph-based features: Model user–resource–peer relationships as a dynamic graph to detect collusion and coordinated insider attacks.</w:t>
      </w:r>
    </w:p>
    <w:p>
      <w:pPr>
        <w:pStyle w:val="ListBullet"/>
        <w:spacing w:after="60"/>
      </w:pPr>
      <w:r>
        <w:rPr>
          <w:rFonts w:ascii="Calibri" w:hAnsi="Calibri"/>
          <w:sz w:val="21"/>
        </w:rPr>
        <w:t>LLM-augmented explainability (RQ3): Use a language model to generate natural-language explanations of each user's risk trajectory for security analyst consumption.</w:t>
      </w:r>
    </w:p>
    <w:p>
      <w:pPr>
        <w:pStyle w:val="ListBullet"/>
        <w:spacing w:after="60"/>
      </w:pPr>
      <w:r>
        <w:rPr>
          <w:rFonts w:ascii="Calibri" w:hAnsi="Calibri"/>
          <w:sz w:val="21"/>
        </w:rPr>
        <w:t>Streaming pipeline: Replace batch CSV processing with Apache Kafka / Flink for real-time per-event risk score updates.</w:t>
      </w:r>
    </w:p>
    <w:p>
      <w:pPr>
        <w:pStyle w:val="ListBullet"/>
        <w:spacing w:after="60"/>
      </w:pPr>
      <w:r>
        <w:rPr>
          <w:rFonts w:ascii="Calibri" w:hAnsi="Calibri"/>
          <w:sz w:val="21"/>
        </w:rPr>
        <w:t>Federated learning: Enable privacy-preserving model training across multiple organizations without sharing raw behavioral data.</w:t>
      </w:r>
    </w:p>
    <w:p/>
    <w:p>
      <w:r>
        <w:br w:type="page"/>
      </w:r>
    </w:p>
    <w:p>
      <w:pPr>
        <w:pStyle w:val="Heading1"/>
        <w:jc w:val="left"/>
      </w:pPr>
      <w:r>
        <w:rPr>
          <w:rFonts w:ascii="Calibri" w:hAnsi="Calibri"/>
          <w:color w:val="1F3864"/>
          <w:sz w:val="36"/>
        </w:rPr>
        <w:t>9. Glossary</w:t>
      </w:r>
    </w:p>
    <w:p>
      <w:pPr>
        <w:spacing w:before="80" w:after="80"/>
        <w:pBdr>
          <w:bottom w:val="single" w:sz="6" w:space="1" w:color="2E75B6"/>
        </w:pBdr>
      </w:pPr>
    </w:p>
    <w:tbl>
      <w:tblPr>
        <w:tblStyle w:val="TableGrid"/>
        <w:tblW w:type="auto" w:w="0"/>
        <w:jc w:val="left"/>
        <w:tblLook w:firstColumn="1" w:firstRow="1" w:lastColumn="0" w:lastRow="0" w:noHBand="0" w:noVBand="1" w:val="04A0"/>
      </w:tblPr>
      <w:tblGrid>
        <w:gridCol w:w="4703"/>
        <w:gridCol w:w="4703"/>
      </w:tblGrid>
      <w:tr>
        <w:tc>
          <w:tcPr>
            <w:tcW w:type="dxa" w:w="2160"/>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Term</w:t>
            </w:r>
          </w:p>
        </w:tc>
        <w:tc>
          <w:tcPr>
            <w:tcW w:type="dxa" w:w="8208"/>
            <w:vAlign w:val="center"/>
            <w:shd w:val="clear" w:color="auto" w:fill="D5E8F4"/>
            <w:tcBorders>
              <w:top w:val="single" w:sz="4" w:color="C0C0C0" w:space="0"/>
              <w:bottom w:val="single" w:sz="4" w:color="C0C0C0" w:space="0"/>
              <w:left w:val="single" w:sz="4" w:color="C0C0C0" w:space="0"/>
              <w:right w:val="single" w:sz="4" w:color="C0C0C0" w:space="0"/>
            </w:tcBorders>
          </w:tcPr>
          <w:p>
            <w:pPr>
              <w:jc w:val="center"/>
            </w:pPr>
            <w:r>
              <w:rPr>
                <w:rFonts w:ascii="Calibri" w:hAnsi="Calibri"/>
                <w:b/>
                <w:color w:val="1F3864"/>
                <w:sz w:val="20"/>
              </w:rPr>
              <w:t>Definition</w:t>
            </w:r>
          </w:p>
        </w:tc>
      </w:tr>
      <w:tr>
        <w:tc>
          <w:tcPr>
            <w:tcW w:type="dxa" w:w="216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PIRS</w:t>
            </w:r>
          </w:p>
        </w:tc>
        <w:tc>
          <w:tcPr>
            <w:tcW w:type="dxa" w:w="820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Predictive Intervention and Risk Stabilization System</w:t>
            </w:r>
          </w:p>
        </w:tc>
      </w:tr>
      <w:tr>
        <w:tc>
          <w:tcPr>
            <w:tcW w:type="dxa" w:w="216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CERT r6.2</w:t>
            </w:r>
          </w:p>
        </w:tc>
        <w:tc>
          <w:tcPr>
            <w:tcW w:type="dxa" w:w="8208"/>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Carnegie Mellon CERT Insider Threat Dataset, release 6.2</w:t>
            </w:r>
          </w:p>
        </w:tc>
      </w:tr>
      <w:tr>
        <w:tc>
          <w:tcPr>
            <w:tcW w:type="dxa" w:w="216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EPR</w:t>
            </w:r>
          </w:p>
        </w:tc>
        <w:tc>
          <w:tcPr>
            <w:tcW w:type="dxa" w:w="820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Early Prediction Rate — fraction of insiders detected N days before first attack</w:t>
            </w:r>
          </w:p>
        </w:tc>
      </w:tr>
      <w:tr>
        <w:tc>
          <w:tcPr>
            <w:tcW w:type="dxa" w:w="216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PQ</w:t>
            </w:r>
          </w:p>
        </w:tc>
        <w:tc>
          <w:tcPr>
            <w:tcW w:type="dxa" w:w="8208"/>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Personality Quality — fraction of interventions matched to user personality type</w:t>
            </w:r>
          </w:p>
        </w:tc>
      </w:tr>
      <w:tr>
        <w:tc>
          <w:tcPr>
            <w:tcW w:type="dxa" w:w="216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ROC-AUC</w:t>
            </w:r>
          </w:p>
        </w:tc>
        <w:tc>
          <w:tcPr>
            <w:tcW w:type="dxa" w:w="820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Receiver Operating Characteristic Area Under the Curve — discrimination metric</w:t>
            </w:r>
          </w:p>
        </w:tc>
      </w:tr>
      <w:tr>
        <w:tc>
          <w:tcPr>
            <w:tcW w:type="dxa" w:w="216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Drift</w:t>
            </w:r>
          </w:p>
        </w:tc>
        <w:tc>
          <w:tcPr>
            <w:tcW w:type="dxa" w:w="8208"/>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A sustained directional change in a user's behavior away from their personal baseline</w:t>
            </w:r>
          </w:p>
        </w:tc>
      </w:tr>
      <w:tr>
        <w:tc>
          <w:tcPr>
            <w:tcW w:type="dxa" w:w="216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Drift Score</w:t>
            </w:r>
          </w:p>
        </w:tc>
        <w:tc>
          <w:tcPr>
            <w:tcW w:type="dxa" w:w="820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Weighted sum of 14-day regression slopes across all deviation features</w:t>
            </w:r>
          </w:p>
        </w:tc>
      </w:tr>
      <w:tr>
        <w:tc>
          <w:tcPr>
            <w:tcW w:type="dxa" w:w="216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Z-Score</w:t>
            </w:r>
          </w:p>
        </w:tc>
        <w:tc>
          <w:tcPr>
            <w:tcW w:type="dxa" w:w="8208"/>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Standard deviations from personal mean: (today − personal_mean) / personal_std</w:t>
            </w:r>
          </w:p>
        </w:tc>
      </w:tr>
      <w:tr>
        <w:tc>
          <w:tcPr>
            <w:tcW w:type="dxa" w:w="216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IsoForest</w:t>
            </w:r>
          </w:p>
        </w:tc>
        <w:tc>
          <w:tcPr>
            <w:tcW w:type="dxa" w:w="820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Isolation Forest — tree-based unsupervised anomaly detection algorithm</w:t>
            </w:r>
          </w:p>
        </w:tc>
      </w:tr>
      <w:tr>
        <w:tc>
          <w:tcPr>
            <w:tcW w:type="dxa" w:w="216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LSTM AE</w:t>
            </w:r>
          </w:p>
        </w:tc>
        <w:tc>
          <w:tcPr>
            <w:tcW w:type="dxa" w:w="8208"/>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Long Short-Term Memory Autoencoder — reconstructs normal sequences; high error = anomaly</w:t>
            </w:r>
          </w:p>
        </w:tc>
      </w:tr>
      <w:tr>
        <w:tc>
          <w:tcPr>
            <w:tcW w:type="dxa" w:w="216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OC-SVM</w:t>
            </w:r>
          </w:p>
        </w:tc>
        <w:tc>
          <w:tcPr>
            <w:tcW w:type="dxa" w:w="820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One-Class Support Vector Machine — learns a tight boundary around normal data</w:t>
            </w:r>
          </w:p>
        </w:tc>
      </w:tr>
      <w:tr>
        <w:tc>
          <w:tcPr>
            <w:tcW w:type="dxa" w:w="216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Q-Learning</w:t>
            </w:r>
          </w:p>
        </w:tc>
        <w:tc>
          <w:tcPr>
            <w:tcW w:type="dxa" w:w="8208"/>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Model-free reinforcement learning algorithm that learns action-value functions</w:t>
            </w:r>
          </w:p>
        </w:tc>
      </w:tr>
      <w:tr>
        <w:tc>
          <w:tcPr>
            <w:tcW w:type="dxa" w:w="2160"/>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OCEAN</w:t>
            </w:r>
          </w:p>
        </w:tc>
        <w:tc>
          <w:tcPr>
            <w:tcW w:type="dxa" w:w="8208"/>
            <w:vAlign w:val="center"/>
            <w:shd w:val="clear" w:color="auto" w:fill="FFFFFF"/>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Big Five personality model: Openness, Conscientiousness, Extraversion, Agreeableness, Neuroticism</w:t>
            </w:r>
          </w:p>
        </w:tc>
      </w:tr>
      <w:tr>
        <w:tc>
          <w:tcPr>
            <w:tcW w:type="dxa" w:w="2160"/>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DXA</w:t>
            </w:r>
          </w:p>
        </w:tc>
        <w:tc>
          <w:tcPr>
            <w:tcW w:type="dxa" w:w="8208"/>
            <w:vAlign w:val="center"/>
            <w:shd w:val="clear" w:color="auto" w:fill="F2F2F2"/>
            <w:tcBorders>
              <w:top w:val="single" w:sz="4" w:color="C0C0C0" w:space="0"/>
              <w:bottom w:val="single" w:sz="4" w:color="C0C0C0" w:space="0"/>
              <w:left w:val="single" w:sz="4" w:color="C0C0C0" w:space="0"/>
              <w:right w:val="single" w:sz="4" w:color="C0C0C0" w:space="0"/>
            </w:tcBorders>
          </w:tcPr>
          <w:p>
            <w:pPr>
              <w:jc w:val="left"/>
            </w:pPr>
            <w:r>
              <w:rPr>
                <w:rFonts w:ascii="Calibri" w:hAnsi="Calibri"/>
                <w:sz w:val="20"/>
              </w:rPr>
              <w:t>Device-independent units used by Word documents (1440 DXA = 1 inch)</w:t>
            </w:r>
          </w:p>
        </w:tc>
      </w:tr>
    </w:tbl>
    <w:p/>
    <w:p>
      <w:pPr>
        <w:spacing w:before="80" w:after="80"/>
        <w:pBdr>
          <w:bottom w:val="single" w:sz="6" w:space="1" w:color="2E75B6"/>
        </w:pBdr>
      </w:pPr>
    </w:p>
    <w:p>
      <w:pPr>
        <w:jc w:val="center"/>
      </w:pPr>
      <w:r>
        <w:rPr>
          <w:i/>
          <w:color w:val="595959"/>
          <w:sz w:val="18"/>
        </w:rPr>
        <w:t>PIRS V2 Architecture Reference  ·  MS Capstone 2026  ·  Generated from pipeline output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