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A5276"/>
          <w:sz w:val="28"/>
        </w:rPr>
        <w:t>Chapter 5: Results and Evaluation</w:t>
      </w:r>
    </w:p>
    <w:p>
      <w:pPr>
        <w:pStyle w:val="Heading2"/>
      </w:pPr>
      <w:r>
        <w:rPr>
          <w:rFonts w:ascii="Times New Roman" w:hAnsi="Times New Roman"/>
          <w:color w:val="1A5276"/>
          <w:sz w:val="24"/>
        </w:rPr>
        <w:t>5.1  Overview</w:t>
      </w:r>
    </w:p>
    <w:p>
      <w:pPr>
        <w:spacing w:before="0" w:after="120" w:line="280" w:lineRule="exact"/>
        <w:jc w:val="both"/>
      </w:pPr>
      <w:r>
        <w:rPr>
          <w:rFonts w:ascii="Times New Roman" w:hAnsi="Times New Roman"/>
          <w:b w:val="0"/>
          <w:i w:val="0"/>
          <w:sz w:val="22"/>
        </w:rPr>
        <w:t>This chapter presents the empirical evaluation of the Proactive Insider Risk System (PIRS) applied to the CERT Insider Threat Dataset r6.2. Evaluation spans five dimensions: (1) detection accuracy via ROC-AUC, (2) early warning capability across pre-malicious time windows, (3) personalization quality of intervention assignments, (4) intervention effectiveness and cost avoidance, and (5) cross-dataset generalization on the LANL Unified Host and Network Dataset. All results are produced from a full, uninterrupted 9-layer pipeline run over 4,000 users across 516 days, generating 1,394,010 user-day records.</w:t>
      </w:r>
    </w:p>
    <w:p>
      <w:pPr>
        <w:pStyle w:val="Heading2"/>
      </w:pPr>
      <w:r>
        <w:rPr>
          <w:rFonts w:ascii="Times New Roman" w:hAnsi="Times New Roman"/>
          <w:color w:val="1A5276"/>
          <w:sz w:val="24"/>
        </w:rPr>
        <w:t>5.2  Experimental Setup</w:t>
      </w:r>
    </w:p>
    <w:p>
      <w:pPr>
        <w:spacing w:before="0" w:after="120" w:line="280" w:lineRule="exact"/>
        <w:jc w:val="both"/>
      </w:pPr>
      <w:r>
        <w:rPr>
          <w:rFonts w:ascii="Times New Roman" w:hAnsi="Times New Roman"/>
          <w:b w:val="0"/>
          <w:i w:val="0"/>
          <w:sz w:val="22"/>
        </w:rPr>
        <w:t>The primary evaluation dataset is the CERT Insider Threat Dataset r6.2, comprising behavioral logs across logon, USB, file, email, and HTTP channels. Five users carry confirmed ground-truth malicious labels spanning five distinct insider threat scenarios. Key pipeline parameters are summarized in Table 5.1.</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1A5276"/>
          </w:tcPr>
          <w:p>
            <w:pPr>
              <w:jc w:val="center"/>
            </w:pPr>
            <w:r>
              <w:rPr>
                <w:rFonts w:ascii="Times New Roman" w:hAnsi="Times New Roman"/>
                <w:b/>
                <w:color w:val="FFFFFF"/>
                <w:sz w:val="18"/>
              </w:rPr>
              <w:t>Parameter</w:t>
            </w:r>
          </w:p>
        </w:tc>
        <w:tc>
          <w:tcPr>
            <w:tcW w:type="dxa" w:w="2016"/>
            <w:shd w:val="clear" w:color="auto" w:fill="1A5276"/>
          </w:tcPr>
          <w:p>
            <w:pPr>
              <w:jc w:val="center"/>
            </w:pPr>
            <w:r>
              <w:rPr>
                <w:rFonts w:ascii="Times New Roman" w:hAnsi="Times New Roman"/>
                <w:b/>
                <w:color w:val="FFFFFF"/>
                <w:sz w:val="18"/>
              </w:rPr>
              <w:t>Value</w:t>
            </w:r>
          </w:p>
        </w:tc>
        <w:tc>
          <w:tcPr>
            <w:tcW w:type="dxa" w:w="4176"/>
            <w:shd w:val="clear" w:color="auto" w:fill="1A5276"/>
          </w:tcPr>
          <w:p>
            <w:pPr>
              <w:jc w:val="center"/>
            </w:pPr>
            <w:r>
              <w:rPr>
                <w:rFonts w:ascii="Times New Roman" w:hAnsi="Times New Roman"/>
                <w:b/>
                <w:color w:val="FFFFFF"/>
                <w:sz w:val="18"/>
              </w:rPr>
              <w:t>Purpose</w:t>
            </w:r>
          </w:p>
        </w:tc>
      </w:tr>
      <w:tr>
        <w:tc>
          <w:tcPr>
            <w:tcW w:type="dxa" w:w="3312"/>
            <w:shd w:val="clear" w:color="auto" w:fill="D6EAF8"/>
          </w:tcPr>
          <w:p>
            <w:pPr>
              <w:jc w:val="left"/>
            </w:pPr>
            <w:r>
              <w:rPr>
                <w:rFonts w:ascii="Times New Roman" w:hAnsi="Times New Roman"/>
                <w:sz w:val="18"/>
              </w:rPr>
              <w:t>Baseline period</w:t>
            </w:r>
          </w:p>
        </w:tc>
        <w:tc>
          <w:tcPr>
            <w:tcW w:type="dxa" w:w="2016"/>
            <w:shd w:val="clear" w:color="auto" w:fill="D6EAF8"/>
          </w:tcPr>
          <w:p>
            <w:pPr>
              <w:jc w:val="center"/>
            </w:pPr>
            <w:r>
              <w:rPr>
                <w:rFonts w:ascii="Times New Roman" w:hAnsi="Times New Roman"/>
                <w:sz w:val="18"/>
              </w:rPr>
              <w:t>60 days</w:t>
            </w:r>
          </w:p>
        </w:tc>
        <w:tc>
          <w:tcPr>
            <w:tcW w:type="dxa" w:w="4176"/>
            <w:shd w:val="clear" w:color="auto" w:fill="D6EAF8"/>
          </w:tcPr>
          <w:p>
            <w:pPr>
              <w:jc w:val="center"/>
            </w:pPr>
            <w:r>
              <w:rPr>
                <w:rFonts w:ascii="Times New Roman" w:hAnsi="Times New Roman"/>
                <w:sz w:val="18"/>
              </w:rPr>
              <w:t>Establish personal behavioral normal per user</w:t>
            </w:r>
          </w:p>
        </w:tc>
      </w:tr>
      <w:tr>
        <w:tc>
          <w:tcPr>
            <w:tcW w:type="dxa" w:w="3312"/>
            <w:shd w:val="clear" w:color="auto" w:fill="FFFFFF"/>
          </w:tcPr>
          <w:p>
            <w:pPr>
              <w:jc w:val="left"/>
            </w:pPr>
            <w:r>
              <w:rPr>
                <w:rFonts w:ascii="Times New Roman" w:hAnsi="Times New Roman"/>
                <w:sz w:val="18"/>
              </w:rPr>
              <w:t>Drift window</w:t>
            </w:r>
          </w:p>
        </w:tc>
        <w:tc>
          <w:tcPr>
            <w:tcW w:type="dxa" w:w="2016"/>
            <w:shd w:val="clear" w:color="auto" w:fill="FFFFFF"/>
          </w:tcPr>
          <w:p>
            <w:pPr>
              <w:jc w:val="center"/>
            </w:pPr>
            <w:r>
              <w:rPr>
                <w:rFonts w:ascii="Times New Roman" w:hAnsi="Times New Roman"/>
                <w:sz w:val="18"/>
              </w:rPr>
              <w:t>14 days</w:t>
            </w:r>
          </w:p>
        </w:tc>
        <w:tc>
          <w:tcPr>
            <w:tcW w:type="dxa" w:w="4176"/>
            <w:shd w:val="clear" w:color="auto" w:fill="FFFFFF"/>
          </w:tcPr>
          <w:p>
            <w:pPr>
              <w:jc w:val="center"/>
            </w:pPr>
            <w:r>
              <w:rPr>
                <w:rFonts w:ascii="Times New Roman" w:hAnsi="Times New Roman"/>
                <w:sz w:val="18"/>
              </w:rPr>
              <w:t>Rolling regression for behavioral drift detection</w:t>
            </w:r>
          </w:p>
        </w:tc>
      </w:tr>
      <w:tr>
        <w:tc>
          <w:tcPr>
            <w:tcW w:type="dxa" w:w="3312"/>
            <w:shd w:val="clear" w:color="auto" w:fill="D6EAF8"/>
          </w:tcPr>
          <w:p>
            <w:pPr>
              <w:jc w:val="left"/>
            </w:pPr>
            <w:r>
              <w:rPr>
                <w:rFonts w:ascii="Times New Roman" w:hAnsi="Times New Roman"/>
                <w:sz w:val="18"/>
              </w:rPr>
              <w:t>LSTM sequence length</w:t>
            </w:r>
          </w:p>
        </w:tc>
        <w:tc>
          <w:tcPr>
            <w:tcW w:type="dxa" w:w="2016"/>
            <w:shd w:val="clear" w:color="auto" w:fill="D6EAF8"/>
          </w:tcPr>
          <w:p>
            <w:pPr>
              <w:jc w:val="center"/>
            </w:pPr>
            <w:r>
              <w:rPr>
                <w:rFonts w:ascii="Times New Roman" w:hAnsi="Times New Roman"/>
                <w:sz w:val="18"/>
              </w:rPr>
              <w:t>7 days</w:t>
            </w:r>
          </w:p>
        </w:tc>
        <w:tc>
          <w:tcPr>
            <w:tcW w:type="dxa" w:w="4176"/>
            <w:shd w:val="clear" w:color="auto" w:fill="D6EAF8"/>
          </w:tcPr>
          <w:p>
            <w:pPr>
              <w:jc w:val="center"/>
            </w:pPr>
            <w:r>
              <w:rPr>
                <w:rFonts w:ascii="Times New Roman" w:hAnsi="Times New Roman"/>
                <w:sz w:val="18"/>
              </w:rPr>
              <w:t>Temporal input for anomaly detection autoencoder</w:t>
            </w:r>
          </w:p>
        </w:tc>
      </w:tr>
      <w:tr>
        <w:tc>
          <w:tcPr>
            <w:tcW w:type="dxa" w:w="3312"/>
            <w:shd w:val="clear" w:color="auto" w:fill="FFFFFF"/>
          </w:tcPr>
          <w:p>
            <w:pPr>
              <w:jc w:val="left"/>
            </w:pPr>
            <w:r>
              <w:rPr>
                <w:rFonts w:ascii="Times New Roman" w:hAnsi="Times New Roman"/>
                <w:sz w:val="18"/>
              </w:rPr>
              <w:t>Alert threshold (RISK_HIGH)</w:t>
            </w:r>
          </w:p>
        </w:tc>
        <w:tc>
          <w:tcPr>
            <w:tcW w:type="dxa" w:w="2016"/>
            <w:shd w:val="clear" w:color="auto" w:fill="FFFFFF"/>
          </w:tcPr>
          <w:p>
            <w:pPr>
              <w:jc w:val="center"/>
            </w:pPr>
            <w:r>
              <w:rPr>
                <w:rFonts w:ascii="Times New Roman" w:hAnsi="Times New Roman"/>
                <w:sz w:val="18"/>
              </w:rPr>
              <w:t>6.0</w:t>
            </w:r>
          </w:p>
        </w:tc>
        <w:tc>
          <w:tcPr>
            <w:tcW w:type="dxa" w:w="4176"/>
            <w:shd w:val="clear" w:color="auto" w:fill="FFFFFF"/>
          </w:tcPr>
          <w:p>
            <w:pPr>
              <w:jc w:val="center"/>
            </w:pPr>
            <w:r>
              <w:rPr>
                <w:rFonts w:ascii="Times New Roman" w:hAnsi="Times New Roman"/>
                <w:sz w:val="18"/>
              </w:rPr>
              <w:t>Threshold for HIGH / CRITICAL escalation</w:t>
            </w:r>
          </w:p>
        </w:tc>
      </w:tr>
      <w:tr>
        <w:tc>
          <w:tcPr>
            <w:tcW w:type="dxa" w:w="3312"/>
            <w:shd w:val="clear" w:color="auto" w:fill="D6EAF8"/>
          </w:tcPr>
          <w:p>
            <w:pPr>
              <w:jc w:val="left"/>
            </w:pPr>
            <w:r>
              <w:rPr>
                <w:rFonts w:ascii="Times New Roman" w:hAnsi="Times New Roman"/>
                <w:sz w:val="18"/>
              </w:rPr>
              <w:t>Q-learning state space</w:t>
            </w:r>
          </w:p>
        </w:tc>
        <w:tc>
          <w:tcPr>
            <w:tcW w:type="dxa" w:w="2016"/>
            <w:shd w:val="clear" w:color="auto" w:fill="D6EAF8"/>
          </w:tcPr>
          <w:p>
            <w:pPr>
              <w:jc w:val="center"/>
            </w:pPr>
            <w:r>
              <w:rPr>
                <w:rFonts w:ascii="Times New Roman" w:hAnsi="Times New Roman"/>
                <w:sz w:val="18"/>
              </w:rPr>
              <w:t>120 states (4x6x5)</w:t>
            </w:r>
          </w:p>
        </w:tc>
        <w:tc>
          <w:tcPr>
            <w:tcW w:type="dxa" w:w="4176"/>
            <w:shd w:val="clear" w:color="auto" w:fill="D6EAF8"/>
          </w:tcPr>
          <w:p>
            <w:pPr>
              <w:jc w:val="center"/>
            </w:pPr>
            <w:r>
              <w:rPr>
                <w:rFonts w:ascii="Times New Roman" w:hAnsi="Times New Roman"/>
                <w:sz w:val="18"/>
              </w:rPr>
              <w:t>Risk x Personality x Drift combinations</w:t>
            </w:r>
          </w:p>
        </w:tc>
      </w:tr>
      <w:tr>
        <w:tc>
          <w:tcPr>
            <w:tcW w:type="dxa" w:w="3312"/>
            <w:shd w:val="clear" w:color="auto" w:fill="FFFFFF"/>
          </w:tcPr>
          <w:p>
            <w:pPr>
              <w:jc w:val="left"/>
            </w:pPr>
            <w:r>
              <w:rPr>
                <w:rFonts w:ascii="Times New Roman" w:hAnsi="Times New Roman"/>
                <w:sz w:val="18"/>
              </w:rPr>
              <w:t>Intervention levels</w:t>
            </w:r>
          </w:p>
        </w:tc>
        <w:tc>
          <w:tcPr>
            <w:tcW w:type="dxa" w:w="2016"/>
            <w:shd w:val="clear" w:color="auto" w:fill="FFFFFF"/>
          </w:tcPr>
          <w:p>
            <w:pPr>
              <w:jc w:val="center"/>
            </w:pPr>
            <w:r>
              <w:rPr>
                <w:rFonts w:ascii="Times New Roman" w:hAnsi="Times New Roman"/>
                <w:sz w:val="18"/>
              </w:rPr>
              <w:t>7 levels</w:t>
            </w:r>
          </w:p>
        </w:tc>
        <w:tc>
          <w:tcPr>
            <w:tcW w:type="dxa" w:w="4176"/>
            <w:shd w:val="clear" w:color="auto" w:fill="FFFFFF"/>
          </w:tcPr>
          <w:p>
            <w:pPr>
              <w:jc w:val="center"/>
            </w:pPr>
            <w:r>
              <w:rPr>
                <w:rFonts w:ascii="Times New Roman" w:hAnsi="Times New Roman"/>
                <w:sz w:val="18"/>
              </w:rPr>
              <w:t>Standard Monitoring to Account Lock</w:t>
            </w:r>
          </w:p>
        </w:tc>
      </w:tr>
      <w:tr>
        <w:tc>
          <w:tcPr>
            <w:tcW w:type="dxa" w:w="3312"/>
            <w:shd w:val="clear" w:color="auto" w:fill="D6EAF8"/>
          </w:tcPr>
          <w:p>
            <w:pPr>
              <w:jc w:val="left"/>
            </w:pPr>
            <w:r>
              <w:rPr>
                <w:rFonts w:ascii="Times New Roman" w:hAnsi="Times New Roman"/>
                <w:sz w:val="18"/>
              </w:rPr>
              <w:t>QL hyperparameters</w:t>
            </w:r>
          </w:p>
        </w:tc>
        <w:tc>
          <w:tcPr>
            <w:tcW w:type="dxa" w:w="2016"/>
            <w:shd w:val="clear" w:color="auto" w:fill="D6EAF8"/>
          </w:tcPr>
          <w:p>
            <w:pPr>
              <w:jc w:val="center"/>
            </w:pPr>
            <w:r>
              <w:rPr>
                <w:rFonts w:ascii="Times New Roman" w:hAnsi="Times New Roman"/>
                <w:sz w:val="18"/>
              </w:rPr>
              <w:t>a=0.1, g=0.9, e=0.1</w:t>
            </w:r>
          </w:p>
        </w:tc>
        <w:tc>
          <w:tcPr>
            <w:tcW w:type="dxa" w:w="4176"/>
            <w:shd w:val="clear" w:color="auto" w:fill="D6EAF8"/>
          </w:tcPr>
          <w:p>
            <w:pPr>
              <w:jc w:val="center"/>
            </w:pPr>
            <w:r>
              <w:rPr>
                <w:rFonts w:ascii="Times New Roman" w:hAnsi="Times New Roman"/>
                <w:sz w:val="18"/>
              </w:rPr>
              <w:t>Learning rate, discount, exploration</w:t>
            </w:r>
          </w:p>
        </w:tc>
      </w:tr>
      <w:tr>
        <w:tc>
          <w:tcPr>
            <w:tcW w:type="dxa" w:w="3312"/>
            <w:shd w:val="clear" w:color="auto" w:fill="FFFFFF"/>
          </w:tcPr>
          <w:p>
            <w:pPr>
              <w:jc w:val="left"/>
            </w:pPr>
            <w:r>
              <w:rPr>
                <w:rFonts w:ascii="Times New Roman" w:hAnsi="Times New Roman"/>
                <w:sz w:val="18"/>
              </w:rPr>
              <w:t>Total records</w:t>
            </w:r>
          </w:p>
        </w:tc>
        <w:tc>
          <w:tcPr>
            <w:tcW w:type="dxa" w:w="2016"/>
            <w:shd w:val="clear" w:color="auto" w:fill="FFFFFF"/>
          </w:tcPr>
          <w:p>
            <w:pPr>
              <w:jc w:val="center"/>
            </w:pPr>
            <w:r>
              <w:rPr>
                <w:rFonts w:ascii="Times New Roman" w:hAnsi="Times New Roman"/>
                <w:sz w:val="18"/>
              </w:rPr>
              <w:t>1,394,010</w:t>
            </w:r>
          </w:p>
        </w:tc>
        <w:tc>
          <w:tcPr>
            <w:tcW w:type="dxa" w:w="4176"/>
            <w:shd w:val="clear" w:color="auto" w:fill="FFFFFF"/>
          </w:tcPr>
          <w:p>
            <w:pPr>
              <w:jc w:val="center"/>
            </w:pPr>
            <w:r>
              <w:rPr>
                <w:rFonts w:ascii="Times New Roman" w:hAnsi="Times New Roman"/>
                <w:sz w:val="18"/>
              </w:rPr>
              <w:t>User-day records processed</w:t>
            </w:r>
          </w:p>
        </w:tc>
      </w:tr>
    </w:tbl>
    <w:p/>
    <w:p>
      <w:pPr>
        <w:spacing w:before="0" w:after="120" w:line="280" w:lineRule="exact"/>
        <w:jc w:val="both"/>
      </w:pPr>
      <w:r>
        <w:rPr>
          <w:rFonts w:ascii="Times New Roman" w:hAnsi="Times New Roman"/>
          <w:b w:val="0"/>
          <w:i w:val="0"/>
          <w:sz w:val="22"/>
        </w:rPr>
        <w:t>Table 5.2 lists the five confirmed insider users with their scenario types and activity patterns.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1A5276"/>
          </w:tcPr>
          <w:p>
            <w:pPr>
              <w:jc w:val="center"/>
            </w:pPr>
            <w:r>
              <w:rPr>
                <w:rFonts w:ascii="Times New Roman" w:hAnsi="Times New Roman"/>
                <w:b/>
                <w:color w:val="FFFFFF"/>
                <w:sz w:val="18"/>
              </w:rPr>
              <w:t>User ID</w:t>
            </w:r>
          </w:p>
        </w:tc>
        <w:tc>
          <w:tcPr>
            <w:tcW w:type="dxa" w:w="864"/>
            <w:shd w:val="clear" w:color="auto" w:fill="1A5276"/>
          </w:tcPr>
          <w:p>
            <w:pPr>
              <w:jc w:val="center"/>
            </w:pPr>
            <w:r>
              <w:rPr>
                <w:rFonts w:ascii="Times New Roman" w:hAnsi="Times New Roman"/>
                <w:b/>
                <w:color w:val="FFFFFF"/>
                <w:sz w:val="18"/>
              </w:rPr>
              <w:t>Scenario</w:t>
            </w:r>
          </w:p>
        </w:tc>
        <w:tc>
          <w:tcPr>
            <w:tcW w:type="dxa" w:w="3312"/>
            <w:shd w:val="clear" w:color="auto" w:fill="1A5276"/>
          </w:tcPr>
          <w:p>
            <w:pPr>
              <w:jc w:val="center"/>
            </w:pPr>
            <w:r>
              <w:rPr>
                <w:rFonts w:ascii="Times New Roman" w:hAnsi="Times New Roman"/>
                <w:b/>
                <w:color w:val="FFFFFF"/>
                <w:sz w:val="18"/>
              </w:rPr>
              <w:t>Threat Type</w:t>
            </w:r>
          </w:p>
        </w:tc>
        <w:tc>
          <w:tcPr>
            <w:tcW w:type="dxa" w:w="1584"/>
            <w:shd w:val="clear" w:color="auto" w:fill="1A5276"/>
          </w:tcPr>
          <w:p>
            <w:pPr>
              <w:jc w:val="center"/>
            </w:pPr>
            <w:r>
              <w:rPr>
                <w:rFonts w:ascii="Times New Roman" w:hAnsi="Times New Roman"/>
                <w:b/>
                <w:color w:val="FFFFFF"/>
                <w:sz w:val="18"/>
              </w:rPr>
              <w:t>First Malicious Day</w:t>
            </w:r>
          </w:p>
        </w:tc>
        <w:tc>
          <w:tcPr>
            <w:tcW w:type="dxa" w:w="1584"/>
            <w:shd w:val="clear" w:color="auto" w:fill="1A5276"/>
          </w:tcPr>
          <w:p>
            <w:pPr>
              <w:jc w:val="center"/>
            </w:pPr>
            <w:r>
              <w:rPr>
                <w:rFonts w:ascii="Times New Roman" w:hAnsi="Times New Roman"/>
                <w:b/>
                <w:color w:val="FFFFFF"/>
                <w:sz w:val="18"/>
              </w:rPr>
              <w:t>Malicious Days</w:t>
            </w:r>
          </w:p>
        </w:tc>
        <w:tc>
          <w:tcPr>
            <w:tcW w:type="dxa" w:w="1440"/>
            <w:shd w:val="clear" w:color="auto" w:fill="1A5276"/>
          </w:tcPr>
          <w:p>
            <w:pPr>
              <w:jc w:val="center"/>
            </w:pPr>
            <w:r>
              <w:rPr>
                <w:rFonts w:ascii="Times New Roman" w:hAnsi="Times New Roman"/>
                <w:b/>
                <w:color w:val="FFFFFF"/>
                <w:sz w:val="18"/>
              </w:rPr>
              <w:t>Personality</w:t>
            </w:r>
          </w:p>
        </w:tc>
      </w:tr>
      <w:tr>
        <w:tc>
          <w:tcPr>
            <w:tcW w:type="dxa" w:w="1440"/>
            <w:shd w:val="clear" w:color="auto" w:fill="D6EAF8"/>
          </w:tcPr>
          <w:p>
            <w:pPr>
              <w:jc w:val="left"/>
            </w:pPr>
            <w:r>
              <w:rPr>
                <w:rFonts w:ascii="Times New Roman" w:hAnsi="Times New Roman"/>
                <w:sz w:val="18"/>
              </w:rPr>
              <w:t>ACM2278</w:t>
            </w:r>
          </w:p>
        </w:tc>
        <w:tc>
          <w:tcPr>
            <w:tcW w:type="dxa" w:w="864"/>
            <w:shd w:val="clear" w:color="auto" w:fill="D6EAF8"/>
          </w:tcPr>
          <w:p>
            <w:pPr>
              <w:jc w:val="center"/>
            </w:pPr>
            <w:r>
              <w:rPr>
                <w:rFonts w:ascii="Times New Roman" w:hAnsi="Times New Roman"/>
                <w:sz w:val="18"/>
              </w:rPr>
              <w:t>Sc1</w:t>
            </w:r>
          </w:p>
        </w:tc>
        <w:tc>
          <w:tcPr>
            <w:tcW w:type="dxa" w:w="3312"/>
            <w:shd w:val="clear" w:color="auto" w:fill="D6EAF8"/>
          </w:tcPr>
          <w:p>
            <w:pPr>
              <w:jc w:val="center"/>
            </w:pPr>
            <w:r>
              <w:rPr>
                <w:rFonts w:ascii="Times New Roman" w:hAnsi="Times New Roman"/>
                <w:sz w:val="18"/>
              </w:rPr>
              <w:t>Wikileaks Upload (Data Exfiltration)</w:t>
            </w:r>
          </w:p>
        </w:tc>
        <w:tc>
          <w:tcPr>
            <w:tcW w:type="dxa" w:w="1584"/>
            <w:shd w:val="clear" w:color="auto" w:fill="D6EAF8"/>
          </w:tcPr>
          <w:p>
            <w:pPr>
              <w:jc w:val="center"/>
            </w:pPr>
            <w:r>
              <w:rPr>
                <w:rFonts w:ascii="Times New Roman" w:hAnsi="Times New Roman"/>
                <w:sz w:val="18"/>
              </w:rPr>
              <w:t>Day 229</w:t>
            </w:r>
          </w:p>
        </w:tc>
        <w:tc>
          <w:tcPr>
            <w:tcW w:type="dxa" w:w="1584"/>
            <w:shd w:val="clear" w:color="auto" w:fill="D6EAF8"/>
          </w:tcPr>
          <w:p>
            <w:pPr>
              <w:jc w:val="center"/>
            </w:pPr>
            <w:r>
              <w:rPr>
                <w:rFonts w:ascii="Times New Roman" w:hAnsi="Times New Roman"/>
                <w:sz w:val="18"/>
              </w:rPr>
              <w:t>7</w:t>
            </w:r>
          </w:p>
        </w:tc>
        <w:tc>
          <w:tcPr>
            <w:tcW w:type="dxa" w:w="1440"/>
            <w:shd w:val="clear" w:color="auto" w:fill="D6EAF8"/>
          </w:tcPr>
          <w:p>
            <w:pPr>
              <w:jc w:val="center"/>
            </w:pPr>
            <w:r>
              <w:rPr>
                <w:rFonts w:ascii="Times New Roman" w:hAnsi="Times New Roman"/>
                <w:sz w:val="18"/>
              </w:rPr>
              <w:t>AUTONOMOUS</w:t>
            </w:r>
          </w:p>
        </w:tc>
      </w:tr>
      <w:tr>
        <w:tc>
          <w:tcPr>
            <w:tcW w:type="dxa" w:w="1440"/>
            <w:shd w:val="clear" w:color="auto" w:fill="FFFFFF"/>
          </w:tcPr>
          <w:p>
            <w:pPr>
              <w:jc w:val="left"/>
            </w:pPr>
            <w:r>
              <w:rPr>
                <w:rFonts w:ascii="Times New Roman" w:hAnsi="Times New Roman"/>
                <w:sz w:val="18"/>
              </w:rPr>
              <w:t>CMP2946</w:t>
            </w:r>
          </w:p>
        </w:tc>
        <w:tc>
          <w:tcPr>
            <w:tcW w:type="dxa" w:w="864"/>
            <w:shd w:val="clear" w:color="auto" w:fill="FFFFFF"/>
          </w:tcPr>
          <w:p>
            <w:pPr>
              <w:jc w:val="center"/>
            </w:pPr>
            <w:r>
              <w:rPr>
                <w:rFonts w:ascii="Times New Roman" w:hAnsi="Times New Roman"/>
                <w:sz w:val="18"/>
              </w:rPr>
              <w:t>Sc2</w:t>
            </w:r>
          </w:p>
        </w:tc>
        <w:tc>
          <w:tcPr>
            <w:tcW w:type="dxa" w:w="3312"/>
            <w:shd w:val="clear" w:color="auto" w:fill="FFFFFF"/>
          </w:tcPr>
          <w:p>
            <w:pPr>
              <w:jc w:val="center"/>
            </w:pPr>
            <w:r>
              <w:rPr>
                <w:rFonts w:ascii="Times New Roman" w:hAnsi="Times New Roman"/>
                <w:sz w:val="18"/>
              </w:rPr>
              <w:t>USB Theft</w:t>
            </w:r>
          </w:p>
        </w:tc>
        <w:tc>
          <w:tcPr>
            <w:tcW w:type="dxa" w:w="1584"/>
            <w:shd w:val="clear" w:color="auto" w:fill="FFFFFF"/>
          </w:tcPr>
          <w:p>
            <w:pPr>
              <w:jc w:val="center"/>
            </w:pPr>
            <w:r>
              <w:rPr>
                <w:rFonts w:ascii="Times New Roman" w:hAnsi="Times New Roman"/>
                <w:sz w:val="18"/>
              </w:rPr>
              <w:t>Day 402</w:t>
            </w:r>
          </w:p>
        </w:tc>
        <w:tc>
          <w:tcPr>
            <w:tcW w:type="dxa" w:w="1584"/>
            <w:shd w:val="clear" w:color="auto" w:fill="FFFFFF"/>
          </w:tcPr>
          <w:p>
            <w:pPr>
              <w:jc w:val="center"/>
            </w:pPr>
            <w:r>
              <w:rPr>
                <w:rFonts w:ascii="Times New Roman" w:hAnsi="Times New Roman"/>
                <w:sz w:val="18"/>
              </w:rPr>
              <w:t>26</w:t>
            </w:r>
          </w:p>
        </w:tc>
        <w:tc>
          <w:tcPr>
            <w:tcW w:type="dxa" w:w="1440"/>
            <w:shd w:val="clear" w:color="auto" w:fill="FFFFFF"/>
          </w:tcPr>
          <w:p>
            <w:pPr>
              <w:jc w:val="center"/>
            </w:pPr>
            <w:r>
              <w:rPr>
                <w:rFonts w:ascii="Times New Roman" w:hAnsi="Times New Roman"/>
                <w:sz w:val="18"/>
              </w:rPr>
              <w:t>RISK_TAKER</w:t>
            </w:r>
          </w:p>
        </w:tc>
      </w:tr>
      <w:tr>
        <w:tc>
          <w:tcPr>
            <w:tcW w:type="dxa" w:w="1440"/>
            <w:shd w:val="clear" w:color="auto" w:fill="D6EAF8"/>
          </w:tcPr>
          <w:p>
            <w:pPr>
              <w:jc w:val="left"/>
            </w:pPr>
            <w:r>
              <w:rPr>
                <w:rFonts w:ascii="Times New Roman" w:hAnsi="Times New Roman"/>
                <w:sz w:val="18"/>
              </w:rPr>
              <w:t>PLJ1771</w:t>
            </w:r>
          </w:p>
        </w:tc>
        <w:tc>
          <w:tcPr>
            <w:tcW w:type="dxa" w:w="864"/>
            <w:shd w:val="clear" w:color="auto" w:fill="D6EAF8"/>
          </w:tcPr>
          <w:p>
            <w:pPr>
              <w:jc w:val="center"/>
            </w:pPr>
            <w:r>
              <w:rPr>
                <w:rFonts w:ascii="Times New Roman" w:hAnsi="Times New Roman"/>
                <w:sz w:val="18"/>
              </w:rPr>
              <w:t>Sc3</w:t>
            </w:r>
          </w:p>
        </w:tc>
        <w:tc>
          <w:tcPr>
            <w:tcW w:type="dxa" w:w="3312"/>
            <w:shd w:val="clear" w:color="auto" w:fill="D6EAF8"/>
          </w:tcPr>
          <w:p>
            <w:pPr>
              <w:jc w:val="center"/>
            </w:pPr>
            <w:r>
              <w:rPr>
                <w:rFonts w:ascii="Times New Roman" w:hAnsi="Times New Roman"/>
                <w:sz w:val="18"/>
              </w:rPr>
              <w:t>Keylogger / Sabotage</w:t>
            </w:r>
          </w:p>
        </w:tc>
        <w:tc>
          <w:tcPr>
            <w:tcW w:type="dxa" w:w="1584"/>
            <w:shd w:val="clear" w:color="auto" w:fill="D6EAF8"/>
          </w:tcPr>
          <w:p>
            <w:pPr>
              <w:jc w:val="center"/>
            </w:pPr>
            <w:r>
              <w:rPr>
                <w:rFonts w:ascii="Times New Roman" w:hAnsi="Times New Roman"/>
                <w:sz w:val="18"/>
              </w:rPr>
              <w:t>Day 223</w:t>
            </w:r>
          </w:p>
        </w:tc>
        <w:tc>
          <w:tcPr>
            <w:tcW w:type="dxa" w:w="1584"/>
            <w:shd w:val="clear" w:color="auto" w:fill="D6EAF8"/>
          </w:tcPr>
          <w:p>
            <w:pPr>
              <w:jc w:val="center"/>
            </w:pPr>
            <w:r>
              <w:rPr>
                <w:rFonts w:ascii="Times New Roman" w:hAnsi="Times New Roman"/>
                <w:sz w:val="18"/>
              </w:rPr>
              <w:t>1</w:t>
            </w:r>
          </w:p>
        </w:tc>
        <w:tc>
          <w:tcPr>
            <w:tcW w:type="dxa" w:w="1440"/>
            <w:shd w:val="clear" w:color="auto" w:fill="D6EAF8"/>
          </w:tcPr>
          <w:p>
            <w:pPr>
              <w:jc w:val="center"/>
            </w:pPr>
            <w:r>
              <w:rPr>
                <w:rFonts w:ascii="Times New Roman" w:hAnsi="Times New Roman"/>
                <w:sz w:val="18"/>
              </w:rPr>
              <w:t>RISK_TAKER</w:t>
            </w:r>
          </w:p>
        </w:tc>
      </w:tr>
      <w:tr>
        <w:tc>
          <w:tcPr>
            <w:tcW w:type="dxa" w:w="1440"/>
            <w:shd w:val="clear" w:color="auto" w:fill="FFFFFF"/>
          </w:tcPr>
          <w:p>
            <w:pPr>
              <w:jc w:val="left"/>
            </w:pPr>
            <w:r>
              <w:rPr>
                <w:rFonts w:ascii="Times New Roman" w:hAnsi="Times New Roman"/>
                <w:sz w:val="18"/>
              </w:rPr>
              <w:t>CDE1846</w:t>
            </w:r>
          </w:p>
        </w:tc>
        <w:tc>
          <w:tcPr>
            <w:tcW w:type="dxa" w:w="864"/>
            <w:shd w:val="clear" w:color="auto" w:fill="FFFFFF"/>
          </w:tcPr>
          <w:p>
            <w:pPr>
              <w:jc w:val="center"/>
            </w:pPr>
            <w:r>
              <w:rPr>
                <w:rFonts w:ascii="Times New Roman" w:hAnsi="Times New Roman"/>
                <w:sz w:val="18"/>
              </w:rPr>
              <w:t>Sc4</w:t>
            </w:r>
          </w:p>
        </w:tc>
        <w:tc>
          <w:tcPr>
            <w:tcW w:type="dxa" w:w="3312"/>
            <w:shd w:val="clear" w:color="auto" w:fill="FFFFFF"/>
          </w:tcPr>
          <w:p>
            <w:pPr>
              <w:jc w:val="center"/>
            </w:pPr>
            <w:r>
              <w:rPr>
                <w:rFonts w:ascii="Times New Roman" w:hAnsi="Times New Roman"/>
                <w:sz w:val="18"/>
              </w:rPr>
              <w:t>Email Exfiltration</w:t>
            </w:r>
          </w:p>
        </w:tc>
        <w:tc>
          <w:tcPr>
            <w:tcW w:type="dxa" w:w="1584"/>
            <w:shd w:val="clear" w:color="auto" w:fill="FFFFFF"/>
          </w:tcPr>
          <w:p>
            <w:pPr>
              <w:jc w:val="center"/>
            </w:pPr>
            <w:r>
              <w:rPr>
                <w:rFonts w:ascii="Times New Roman" w:hAnsi="Times New Roman"/>
                <w:sz w:val="18"/>
              </w:rPr>
              <w:t>Day 416</w:t>
            </w:r>
          </w:p>
        </w:tc>
        <w:tc>
          <w:tcPr>
            <w:tcW w:type="dxa" w:w="1584"/>
            <w:shd w:val="clear" w:color="auto" w:fill="FFFFFF"/>
          </w:tcPr>
          <w:p>
            <w:pPr>
              <w:jc w:val="center"/>
            </w:pPr>
            <w:r>
              <w:rPr>
                <w:rFonts w:ascii="Times New Roman" w:hAnsi="Times New Roman"/>
                <w:sz w:val="18"/>
              </w:rPr>
              <w:t>64</w:t>
            </w:r>
          </w:p>
        </w:tc>
        <w:tc>
          <w:tcPr>
            <w:tcW w:type="dxa" w:w="1440"/>
            <w:shd w:val="clear" w:color="auto" w:fill="FFFFFF"/>
          </w:tcPr>
          <w:p>
            <w:pPr>
              <w:jc w:val="center"/>
            </w:pPr>
            <w:r>
              <w:rPr>
                <w:rFonts w:ascii="Times New Roman" w:hAnsi="Times New Roman"/>
                <w:sz w:val="18"/>
              </w:rPr>
              <w:t>RISK_TAKER</w:t>
            </w:r>
          </w:p>
        </w:tc>
      </w:tr>
      <w:tr>
        <w:tc>
          <w:tcPr>
            <w:tcW w:type="dxa" w:w="1440"/>
            <w:shd w:val="clear" w:color="auto" w:fill="D6EAF8"/>
          </w:tcPr>
          <w:p>
            <w:pPr>
              <w:jc w:val="left"/>
            </w:pPr>
            <w:r>
              <w:rPr>
                <w:rFonts w:ascii="Times New Roman" w:hAnsi="Times New Roman"/>
                <w:sz w:val="18"/>
              </w:rPr>
              <w:t>MBG3183</w:t>
            </w:r>
          </w:p>
        </w:tc>
        <w:tc>
          <w:tcPr>
            <w:tcW w:type="dxa" w:w="864"/>
            <w:shd w:val="clear" w:color="auto" w:fill="D6EAF8"/>
          </w:tcPr>
          <w:p>
            <w:pPr>
              <w:jc w:val="center"/>
            </w:pPr>
            <w:r>
              <w:rPr>
                <w:rFonts w:ascii="Times New Roman" w:hAnsi="Times New Roman"/>
                <w:sz w:val="18"/>
              </w:rPr>
              <w:t>Sc5</w:t>
            </w:r>
          </w:p>
        </w:tc>
        <w:tc>
          <w:tcPr>
            <w:tcW w:type="dxa" w:w="3312"/>
            <w:shd w:val="clear" w:color="auto" w:fill="D6EAF8"/>
          </w:tcPr>
          <w:p>
            <w:pPr>
              <w:jc w:val="center"/>
            </w:pPr>
            <w:r>
              <w:rPr>
                <w:rFonts w:ascii="Times New Roman" w:hAnsi="Times New Roman"/>
                <w:sz w:val="18"/>
              </w:rPr>
              <w:t>Dropbox Upload</w:t>
            </w:r>
          </w:p>
        </w:tc>
        <w:tc>
          <w:tcPr>
            <w:tcW w:type="dxa" w:w="1584"/>
            <w:shd w:val="clear" w:color="auto" w:fill="D6EAF8"/>
          </w:tcPr>
          <w:p>
            <w:pPr>
              <w:jc w:val="center"/>
            </w:pPr>
            <w:r>
              <w:rPr>
                <w:rFonts w:ascii="Times New Roman" w:hAnsi="Times New Roman"/>
                <w:sz w:val="18"/>
              </w:rPr>
              <w:t>Day 284</w:t>
            </w:r>
          </w:p>
        </w:tc>
        <w:tc>
          <w:tcPr>
            <w:tcW w:type="dxa" w:w="1584"/>
            <w:shd w:val="clear" w:color="auto" w:fill="D6EAF8"/>
          </w:tcPr>
          <w:p>
            <w:pPr>
              <w:jc w:val="center"/>
            </w:pPr>
            <w:r>
              <w:rPr>
                <w:rFonts w:ascii="Times New Roman" w:hAnsi="Times New Roman"/>
                <w:sz w:val="18"/>
              </w:rPr>
              <w:t>1</w:t>
            </w:r>
          </w:p>
        </w:tc>
        <w:tc>
          <w:tcPr>
            <w:tcW w:type="dxa" w:w="1440"/>
            <w:shd w:val="clear" w:color="auto" w:fill="D6EAF8"/>
          </w:tcPr>
          <w:p>
            <w:pPr>
              <w:jc w:val="center"/>
            </w:pPr>
            <w:r>
              <w:rPr>
                <w:rFonts w:ascii="Times New Roman" w:hAnsi="Times New Roman"/>
                <w:sz w:val="18"/>
              </w:rPr>
              <w:t>RISK_TAKER</w:t>
            </w:r>
          </w:p>
        </w:tc>
      </w:tr>
    </w:tbl>
    <w:p/>
    <w:p>
      <w:pPr>
        <w:pStyle w:val="Heading2"/>
      </w:pPr>
      <w:r>
        <w:rPr>
          <w:rFonts w:ascii="Times New Roman" w:hAnsi="Times New Roman"/>
          <w:color w:val="1A5276"/>
          <w:sz w:val="24"/>
        </w:rPr>
        <w:t>5.3  Overall Detection Performance</w:t>
      </w:r>
    </w:p>
    <w:p>
      <w:pPr>
        <w:pStyle w:val="Heading3"/>
      </w:pPr>
      <w:r>
        <w:rPr>
          <w:rFonts w:ascii="Times New Roman" w:hAnsi="Times New Roman"/>
          <w:color w:val="2C3E50"/>
          <w:sz w:val="22"/>
        </w:rPr>
        <w:t>5.3.1  ROC-AUC Score</w:t>
      </w:r>
    </w:p>
    <w:p>
      <w:pPr>
        <w:spacing w:before="0" w:after="120" w:line="280" w:lineRule="exact"/>
        <w:jc w:val="both"/>
      </w:pPr>
      <w:r>
        <w:rPr>
          <w:rFonts w:ascii="Times New Roman" w:hAnsi="Times New Roman"/>
          <w:b w:val="0"/>
          <w:i w:val="0"/>
          <w:sz w:val="22"/>
        </w:rPr>
        <w:t>The primary detection metric is the user-level Receiver Operating Characteristic Area Under the Curve (ROC-AUC), computed by ranking all 4,000 users by their maximum observed risk score and comparing insider versus non-insider separation. The system achieved a ROC-AUC of 0.8973, confirming strong discriminative power well above the 0.80 design threshold and significantly above the 0.50 random baseline. Figure 5.1 shows the computed ROC curve. The steep initial rise indicates that the pipeline correctly assigns the highest risk scores to insider users, with only a small number of false positives required before all true positives are recovered.</w:t>
      </w:r>
    </w:p>
    <w:p/>
    <w:p>
      <w:pPr>
        <w:jc w:val="center"/>
      </w:pPr>
      <w:r>
        <w:drawing>
          <wp:inline xmlns:a="http://schemas.openxmlformats.org/drawingml/2006/main" xmlns:pic="http://schemas.openxmlformats.org/drawingml/2006/picture">
            <wp:extent cx="5669280" cy="4916254"/>
            <wp:docPr id="1" name="Picture 1"/>
            <wp:cNvGraphicFramePr>
              <a:graphicFrameLocks noChangeAspect="1"/>
            </wp:cNvGraphicFramePr>
            <a:graphic>
              <a:graphicData uri="http://schemas.openxmlformats.org/drawingml/2006/picture">
                <pic:pic>
                  <pic:nvPicPr>
                    <pic:cNvPr id="0" name="chart6_roc.png"/>
                    <pic:cNvPicPr/>
                  </pic:nvPicPr>
                  <pic:blipFill>
                    <a:blip r:embed="rId9"/>
                    <a:stretch>
                      <a:fillRect/>
                    </a:stretch>
                  </pic:blipFill>
                  <pic:spPr>
                    <a:xfrm>
                      <a:off x="0" y="0"/>
                      <a:ext cx="5669280" cy="4916254"/>
                    </a:xfrm>
                    <a:prstGeom prst="rect"/>
                  </pic:spPr>
                </pic:pic>
              </a:graphicData>
            </a:graphic>
          </wp:inline>
        </w:drawing>
      </w:r>
    </w:p>
    <w:p>
      <w:pPr>
        <w:spacing w:after="200"/>
        <w:jc w:val="center"/>
      </w:pPr>
      <w:r>
        <w:rPr>
          <w:rFonts w:ascii="Times New Roman" w:hAnsi="Times New Roman"/>
          <w:i/>
          <w:color w:val="444444"/>
          <w:sz w:val="18"/>
        </w:rPr>
        <w:t>Figure 5.1 - ROC Curve for PIRS on CERT r6.2 (4,000 users). AUC = 0.8973. The red square marker indicates the LANL cross-validation result (AUC = 0.7429).</w:t>
      </w:r>
    </w:p>
    <w:p>
      <w:pPr>
        <w:pStyle w:val="Heading3"/>
      </w:pPr>
      <w:r>
        <w:rPr>
          <w:rFonts w:ascii="Times New Roman" w:hAnsi="Times New Roman"/>
          <w:color w:val="2C3E50"/>
          <w:sz w:val="22"/>
        </w:rPr>
        <w:t>5.3.2  Per-Insider Risk Rankings</w:t>
      </w:r>
    </w:p>
    <w:p>
      <w:pPr>
        <w:spacing w:before="0" w:after="120" w:line="280" w:lineRule="exact"/>
        <w:jc w:val="both"/>
      </w:pPr>
      <w:r>
        <w:rPr>
          <w:rFonts w:ascii="Times New Roman" w:hAnsi="Times New Roman"/>
          <w:b w:val="0"/>
          <w:i w:val="0"/>
          <w:sz w:val="22"/>
        </w:rPr>
        <w:t>Table 5.3 reports the maximum risk score and percentile rank achieved by each insider user among the full population of 4,000 users. Three of five insiders (CDE1846, CMP2946, ACM2278) ranked within the top 10%. PLJ1771 fell just outside at 10.6%. MBG3183, whose malicious activity consisted of a single low-footprint Dropbox upload, ranked at 16.0%.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color="auto" w:fill="1A5276"/>
          </w:tcPr>
          <w:p>
            <w:pPr>
              <w:jc w:val="center"/>
            </w:pPr>
            <w:r>
              <w:rPr>
                <w:rFonts w:ascii="Times New Roman" w:hAnsi="Times New Roman"/>
                <w:b/>
                <w:color w:val="FFFFFF"/>
                <w:sz w:val="18"/>
              </w:rPr>
              <w:t>User</w:t>
            </w:r>
          </w:p>
        </w:tc>
        <w:tc>
          <w:tcPr>
            <w:tcW w:type="dxa" w:w="2880"/>
            <w:shd w:val="clear" w:color="auto" w:fill="1A5276"/>
          </w:tcPr>
          <w:p>
            <w:pPr>
              <w:jc w:val="center"/>
            </w:pPr>
            <w:r>
              <w:rPr>
                <w:rFonts w:ascii="Times New Roman" w:hAnsi="Times New Roman"/>
                <w:b/>
                <w:color w:val="FFFFFF"/>
                <w:sz w:val="18"/>
              </w:rPr>
              <w:t>Scenario</w:t>
            </w:r>
          </w:p>
        </w:tc>
        <w:tc>
          <w:tcPr>
            <w:tcW w:type="dxa" w:w="1584"/>
            <w:shd w:val="clear" w:color="auto" w:fill="1A5276"/>
          </w:tcPr>
          <w:p>
            <w:pPr>
              <w:jc w:val="center"/>
            </w:pPr>
            <w:r>
              <w:rPr>
                <w:rFonts w:ascii="Times New Roman" w:hAnsi="Times New Roman"/>
                <w:b/>
                <w:color w:val="FFFFFF"/>
                <w:sz w:val="18"/>
              </w:rPr>
              <w:t>Max Risk Score</w:t>
            </w:r>
          </w:p>
        </w:tc>
        <w:tc>
          <w:tcPr>
            <w:tcW w:type="dxa" w:w="1584"/>
            <w:shd w:val="clear" w:color="auto" w:fill="1A5276"/>
          </w:tcPr>
          <w:p>
            <w:pPr>
              <w:jc w:val="center"/>
            </w:pPr>
            <w:r>
              <w:rPr>
                <w:rFonts w:ascii="Times New Roman" w:hAnsi="Times New Roman"/>
                <w:b/>
                <w:color w:val="FFFFFF"/>
                <w:sz w:val="18"/>
              </w:rPr>
              <w:t>Rank (of 4,000)</w:t>
            </w:r>
          </w:p>
        </w:tc>
        <w:tc>
          <w:tcPr>
            <w:tcW w:type="dxa" w:w="1296"/>
            <w:shd w:val="clear" w:color="auto" w:fill="1A5276"/>
          </w:tcPr>
          <w:p>
            <w:pPr>
              <w:jc w:val="center"/>
            </w:pPr>
            <w:r>
              <w:rPr>
                <w:rFonts w:ascii="Times New Roman" w:hAnsi="Times New Roman"/>
                <w:b/>
                <w:color w:val="FFFFFF"/>
                <w:sz w:val="18"/>
              </w:rPr>
              <w:t>Percentile</w:t>
            </w:r>
          </w:p>
        </w:tc>
        <w:tc>
          <w:tcPr>
            <w:tcW w:type="dxa" w:w="1296"/>
            <w:shd w:val="clear" w:color="auto" w:fill="1A5276"/>
          </w:tcPr>
          <w:p>
            <w:pPr>
              <w:jc w:val="center"/>
            </w:pPr>
            <w:r>
              <w:rPr>
                <w:rFonts w:ascii="Times New Roman" w:hAnsi="Times New Roman"/>
                <w:b/>
                <w:color w:val="FFFFFF"/>
                <w:sz w:val="18"/>
              </w:rPr>
              <w:t>Top 10%?</w:t>
            </w:r>
          </w:p>
        </w:tc>
      </w:tr>
      <w:tr>
        <w:tc>
          <w:tcPr>
            <w:tcW w:type="dxa" w:w="1584"/>
            <w:shd w:val="clear" w:color="auto" w:fill="D6EAF8"/>
          </w:tcPr>
          <w:p>
            <w:pPr>
              <w:jc w:val="left"/>
            </w:pPr>
            <w:r>
              <w:rPr>
                <w:rFonts w:ascii="Times New Roman" w:hAnsi="Times New Roman"/>
                <w:sz w:val="18"/>
              </w:rPr>
              <w:t>CDE1846</w:t>
            </w:r>
          </w:p>
        </w:tc>
        <w:tc>
          <w:tcPr>
            <w:tcW w:type="dxa" w:w="2880"/>
            <w:shd w:val="clear" w:color="auto" w:fill="D6EAF8"/>
          </w:tcPr>
          <w:p>
            <w:pPr>
              <w:jc w:val="center"/>
            </w:pPr>
            <w:r>
              <w:rPr>
                <w:rFonts w:ascii="Times New Roman" w:hAnsi="Times New Roman"/>
                <w:sz w:val="18"/>
              </w:rPr>
              <w:t>Sc4: Email Exfiltration</w:t>
            </w:r>
          </w:p>
        </w:tc>
        <w:tc>
          <w:tcPr>
            <w:tcW w:type="dxa" w:w="1584"/>
            <w:shd w:val="clear" w:color="auto" w:fill="D6EAF8"/>
          </w:tcPr>
          <w:p>
            <w:pPr>
              <w:jc w:val="center"/>
            </w:pPr>
            <w:r>
              <w:rPr>
                <w:rFonts w:ascii="Times New Roman" w:hAnsi="Times New Roman"/>
                <w:sz w:val="18"/>
              </w:rPr>
              <w:t>4.976</w:t>
            </w:r>
          </w:p>
        </w:tc>
        <w:tc>
          <w:tcPr>
            <w:tcW w:type="dxa" w:w="1584"/>
            <w:shd w:val="clear" w:color="auto" w:fill="D6EAF8"/>
          </w:tcPr>
          <w:p>
            <w:pPr>
              <w:jc w:val="center"/>
            </w:pPr>
            <w:r>
              <w:rPr>
                <w:rFonts w:ascii="Times New Roman" w:hAnsi="Times New Roman"/>
                <w:sz w:val="18"/>
              </w:rPr>
              <w:t>257</w:t>
            </w:r>
          </w:p>
        </w:tc>
        <w:tc>
          <w:tcPr>
            <w:tcW w:type="dxa" w:w="1296"/>
            <w:shd w:val="clear" w:color="auto" w:fill="D6EAF8"/>
          </w:tcPr>
          <w:p>
            <w:pPr>
              <w:jc w:val="center"/>
            </w:pPr>
            <w:r>
              <w:rPr>
                <w:rFonts w:ascii="Times New Roman" w:hAnsi="Times New Roman"/>
                <w:sz w:val="18"/>
              </w:rPr>
              <w:t>6.4%</w:t>
            </w:r>
          </w:p>
        </w:tc>
        <w:tc>
          <w:tcPr>
            <w:tcW w:type="dxa" w:w="1296"/>
            <w:shd w:val="clear" w:color="auto" w:fill="D6EAF8"/>
          </w:tcPr>
          <w:p>
            <w:pPr>
              <w:jc w:val="center"/>
            </w:pPr>
            <w:r>
              <w:rPr>
                <w:rFonts w:ascii="Times New Roman" w:hAnsi="Times New Roman"/>
                <w:sz w:val="18"/>
              </w:rPr>
              <w:t>Yes</w:t>
            </w:r>
          </w:p>
        </w:tc>
      </w:tr>
      <w:tr>
        <w:tc>
          <w:tcPr>
            <w:tcW w:type="dxa" w:w="1584"/>
            <w:shd w:val="clear" w:color="auto" w:fill="FFFFFF"/>
          </w:tcPr>
          <w:p>
            <w:pPr>
              <w:jc w:val="left"/>
            </w:pPr>
            <w:r>
              <w:rPr>
                <w:rFonts w:ascii="Times New Roman" w:hAnsi="Times New Roman"/>
                <w:sz w:val="18"/>
              </w:rPr>
              <w:t>CMP2946</w:t>
            </w:r>
          </w:p>
        </w:tc>
        <w:tc>
          <w:tcPr>
            <w:tcW w:type="dxa" w:w="2880"/>
            <w:shd w:val="clear" w:color="auto" w:fill="FFFFFF"/>
          </w:tcPr>
          <w:p>
            <w:pPr>
              <w:jc w:val="center"/>
            </w:pPr>
            <w:r>
              <w:rPr>
                <w:rFonts w:ascii="Times New Roman" w:hAnsi="Times New Roman"/>
                <w:sz w:val="18"/>
              </w:rPr>
              <w:t>Sc2: USB Theft</w:t>
            </w:r>
          </w:p>
        </w:tc>
        <w:tc>
          <w:tcPr>
            <w:tcW w:type="dxa" w:w="1584"/>
            <w:shd w:val="clear" w:color="auto" w:fill="FFFFFF"/>
          </w:tcPr>
          <w:p>
            <w:pPr>
              <w:jc w:val="center"/>
            </w:pPr>
            <w:r>
              <w:rPr>
                <w:rFonts w:ascii="Times New Roman" w:hAnsi="Times New Roman"/>
                <w:sz w:val="18"/>
              </w:rPr>
              <w:t>4.573</w:t>
            </w:r>
          </w:p>
        </w:tc>
        <w:tc>
          <w:tcPr>
            <w:tcW w:type="dxa" w:w="1584"/>
            <w:shd w:val="clear" w:color="auto" w:fill="FFFFFF"/>
          </w:tcPr>
          <w:p>
            <w:pPr>
              <w:jc w:val="center"/>
            </w:pPr>
            <w:r>
              <w:rPr>
                <w:rFonts w:ascii="Times New Roman" w:hAnsi="Times New Roman"/>
                <w:sz w:val="18"/>
              </w:rPr>
              <w:t>365</w:t>
            </w:r>
          </w:p>
        </w:tc>
        <w:tc>
          <w:tcPr>
            <w:tcW w:type="dxa" w:w="1296"/>
            <w:shd w:val="clear" w:color="auto" w:fill="FFFFFF"/>
          </w:tcPr>
          <w:p>
            <w:pPr>
              <w:jc w:val="center"/>
            </w:pPr>
            <w:r>
              <w:rPr>
                <w:rFonts w:ascii="Times New Roman" w:hAnsi="Times New Roman"/>
                <w:sz w:val="18"/>
              </w:rPr>
              <w:t>9.1%</w:t>
            </w:r>
          </w:p>
        </w:tc>
        <w:tc>
          <w:tcPr>
            <w:tcW w:type="dxa" w:w="1296"/>
            <w:shd w:val="clear" w:color="auto" w:fill="FFFFFF"/>
          </w:tcPr>
          <w:p>
            <w:pPr>
              <w:jc w:val="center"/>
            </w:pPr>
            <w:r>
              <w:rPr>
                <w:rFonts w:ascii="Times New Roman" w:hAnsi="Times New Roman"/>
                <w:sz w:val="18"/>
              </w:rPr>
              <w:t>Yes</w:t>
            </w:r>
          </w:p>
        </w:tc>
      </w:tr>
      <w:tr>
        <w:tc>
          <w:tcPr>
            <w:tcW w:type="dxa" w:w="1584"/>
            <w:shd w:val="clear" w:color="auto" w:fill="D6EAF8"/>
          </w:tcPr>
          <w:p>
            <w:pPr>
              <w:jc w:val="left"/>
            </w:pPr>
            <w:r>
              <w:rPr>
                <w:rFonts w:ascii="Times New Roman" w:hAnsi="Times New Roman"/>
                <w:sz w:val="18"/>
              </w:rPr>
              <w:t>ACM2278</w:t>
            </w:r>
          </w:p>
        </w:tc>
        <w:tc>
          <w:tcPr>
            <w:tcW w:type="dxa" w:w="2880"/>
            <w:shd w:val="clear" w:color="auto" w:fill="D6EAF8"/>
          </w:tcPr>
          <w:p>
            <w:pPr>
              <w:jc w:val="center"/>
            </w:pPr>
            <w:r>
              <w:rPr>
                <w:rFonts w:ascii="Times New Roman" w:hAnsi="Times New Roman"/>
                <w:sz w:val="18"/>
              </w:rPr>
              <w:t>Sc1: Wikileaks Upload</w:t>
            </w:r>
          </w:p>
        </w:tc>
        <w:tc>
          <w:tcPr>
            <w:tcW w:type="dxa" w:w="1584"/>
            <w:shd w:val="clear" w:color="auto" w:fill="D6EAF8"/>
          </w:tcPr>
          <w:p>
            <w:pPr>
              <w:jc w:val="center"/>
            </w:pPr>
            <w:r>
              <w:rPr>
                <w:rFonts w:ascii="Times New Roman" w:hAnsi="Times New Roman"/>
                <w:sz w:val="18"/>
              </w:rPr>
              <w:t>4.503</w:t>
            </w:r>
          </w:p>
        </w:tc>
        <w:tc>
          <w:tcPr>
            <w:tcW w:type="dxa" w:w="1584"/>
            <w:shd w:val="clear" w:color="auto" w:fill="D6EAF8"/>
          </w:tcPr>
          <w:p>
            <w:pPr>
              <w:jc w:val="center"/>
            </w:pPr>
            <w:r>
              <w:rPr>
                <w:rFonts w:ascii="Times New Roman" w:hAnsi="Times New Roman"/>
                <w:sz w:val="18"/>
              </w:rPr>
              <w:t>381</w:t>
            </w:r>
          </w:p>
        </w:tc>
        <w:tc>
          <w:tcPr>
            <w:tcW w:type="dxa" w:w="1296"/>
            <w:shd w:val="clear" w:color="auto" w:fill="D6EAF8"/>
          </w:tcPr>
          <w:p>
            <w:pPr>
              <w:jc w:val="center"/>
            </w:pPr>
            <w:r>
              <w:rPr>
                <w:rFonts w:ascii="Times New Roman" w:hAnsi="Times New Roman"/>
                <w:sz w:val="18"/>
              </w:rPr>
              <w:t>9.5%</w:t>
            </w:r>
          </w:p>
        </w:tc>
        <w:tc>
          <w:tcPr>
            <w:tcW w:type="dxa" w:w="1296"/>
            <w:shd w:val="clear" w:color="auto" w:fill="D6EAF8"/>
          </w:tcPr>
          <w:p>
            <w:pPr>
              <w:jc w:val="center"/>
            </w:pPr>
            <w:r>
              <w:rPr>
                <w:rFonts w:ascii="Times New Roman" w:hAnsi="Times New Roman"/>
                <w:sz w:val="18"/>
              </w:rPr>
              <w:t>Yes</w:t>
            </w:r>
          </w:p>
        </w:tc>
      </w:tr>
      <w:tr>
        <w:tc>
          <w:tcPr>
            <w:tcW w:type="dxa" w:w="1584"/>
            <w:shd w:val="clear" w:color="auto" w:fill="FFFFFF"/>
          </w:tcPr>
          <w:p>
            <w:pPr>
              <w:jc w:val="left"/>
            </w:pPr>
            <w:r>
              <w:rPr>
                <w:rFonts w:ascii="Times New Roman" w:hAnsi="Times New Roman"/>
                <w:sz w:val="18"/>
              </w:rPr>
              <w:t>PLJ1771</w:t>
            </w:r>
          </w:p>
        </w:tc>
        <w:tc>
          <w:tcPr>
            <w:tcW w:type="dxa" w:w="2880"/>
            <w:shd w:val="clear" w:color="auto" w:fill="FFFFFF"/>
          </w:tcPr>
          <w:p>
            <w:pPr>
              <w:jc w:val="center"/>
            </w:pPr>
            <w:r>
              <w:rPr>
                <w:rFonts w:ascii="Times New Roman" w:hAnsi="Times New Roman"/>
                <w:sz w:val="18"/>
              </w:rPr>
              <w:t>Sc3: Keylogger</w:t>
            </w:r>
          </w:p>
        </w:tc>
        <w:tc>
          <w:tcPr>
            <w:tcW w:type="dxa" w:w="1584"/>
            <w:shd w:val="clear" w:color="auto" w:fill="FFFFFF"/>
          </w:tcPr>
          <w:p>
            <w:pPr>
              <w:jc w:val="center"/>
            </w:pPr>
            <w:r>
              <w:rPr>
                <w:rFonts w:ascii="Times New Roman" w:hAnsi="Times New Roman"/>
                <w:sz w:val="18"/>
              </w:rPr>
              <w:t>4.420</w:t>
            </w:r>
          </w:p>
        </w:tc>
        <w:tc>
          <w:tcPr>
            <w:tcW w:type="dxa" w:w="1584"/>
            <w:shd w:val="clear" w:color="auto" w:fill="FFFFFF"/>
          </w:tcPr>
          <w:p>
            <w:pPr>
              <w:jc w:val="center"/>
            </w:pPr>
            <w:r>
              <w:rPr>
                <w:rFonts w:ascii="Times New Roman" w:hAnsi="Times New Roman"/>
                <w:sz w:val="18"/>
              </w:rPr>
              <w:t>422</w:t>
            </w:r>
          </w:p>
        </w:tc>
        <w:tc>
          <w:tcPr>
            <w:tcW w:type="dxa" w:w="1296"/>
            <w:shd w:val="clear" w:color="auto" w:fill="FFFFFF"/>
          </w:tcPr>
          <w:p>
            <w:pPr>
              <w:jc w:val="center"/>
            </w:pPr>
            <w:r>
              <w:rPr>
                <w:rFonts w:ascii="Times New Roman" w:hAnsi="Times New Roman"/>
                <w:sz w:val="18"/>
              </w:rPr>
              <w:t>10.6%</w:t>
            </w:r>
          </w:p>
        </w:tc>
        <w:tc>
          <w:tcPr>
            <w:tcW w:type="dxa" w:w="1296"/>
            <w:shd w:val="clear" w:color="auto" w:fill="FFFFFF"/>
          </w:tcPr>
          <w:p>
            <w:pPr>
              <w:jc w:val="center"/>
            </w:pPr>
            <w:r>
              <w:rPr>
                <w:rFonts w:ascii="Times New Roman" w:hAnsi="Times New Roman"/>
                <w:sz w:val="18"/>
              </w:rPr>
              <w:t>Marginal</w:t>
            </w:r>
          </w:p>
        </w:tc>
      </w:tr>
      <w:tr>
        <w:tc>
          <w:tcPr>
            <w:tcW w:type="dxa" w:w="1584"/>
            <w:shd w:val="clear" w:color="auto" w:fill="D6EAF8"/>
          </w:tcPr>
          <w:p>
            <w:pPr>
              <w:jc w:val="left"/>
            </w:pPr>
            <w:r>
              <w:rPr>
                <w:rFonts w:ascii="Times New Roman" w:hAnsi="Times New Roman"/>
                <w:sz w:val="18"/>
              </w:rPr>
              <w:t>MBG3183</w:t>
            </w:r>
          </w:p>
        </w:tc>
        <w:tc>
          <w:tcPr>
            <w:tcW w:type="dxa" w:w="2880"/>
            <w:shd w:val="clear" w:color="auto" w:fill="D6EAF8"/>
          </w:tcPr>
          <w:p>
            <w:pPr>
              <w:jc w:val="center"/>
            </w:pPr>
            <w:r>
              <w:rPr>
                <w:rFonts w:ascii="Times New Roman" w:hAnsi="Times New Roman"/>
                <w:sz w:val="18"/>
              </w:rPr>
              <w:t>Sc5: Dropbox Upload</w:t>
            </w:r>
          </w:p>
        </w:tc>
        <w:tc>
          <w:tcPr>
            <w:tcW w:type="dxa" w:w="1584"/>
            <w:shd w:val="clear" w:color="auto" w:fill="D6EAF8"/>
          </w:tcPr>
          <w:p>
            <w:pPr>
              <w:jc w:val="center"/>
            </w:pPr>
            <w:r>
              <w:rPr>
                <w:rFonts w:ascii="Times New Roman" w:hAnsi="Times New Roman"/>
                <w:sz w:val="18"/>
              </w:rPr>
              <w:t>3.926</w:t>
            </w:r>
          </w:p>
        </w:tc>
        <w:tc>
          <w:tcPr>
            <w:tcW w:type="dxa" w:w="1584"/>
            <w:shd w:val="clear" w:color="auto" w:fill="D6EAF8"/>
          </w:tcPr>
          <w:p>
            <w:pPr>
              <w:jc w:val="center"/>
            </w:pPr>
            <w:r>
              <w:rPr>
                <w:rFonts w:ascii="Times New Roman" w:hAnsi="Times New Roman"/>
                <w:sz w:val="18"/>
              </w:rPr>
              <w:t>641</w:t>
            </w:r>
          </w:p>
        </w:tc>
        <w:tc>
          <w:tcPr>
            <w:tcW w:type="dxa" w:w="1296"/>
            <w:shd w:val="clear" w:color="auto" w:fill="D6EAF8"/>
          </w:tcPr>
          <w:p>
            <w:pPr>
              <w:jc w:val="center"/>
            </w:pPr>
            <w:r>
              <w:rPr>
                <w:rFonts w:ascii="Times New Roman" w:hAnsi="Times New Roman"/>
                <w:sz w:val="18"/>
              </w:rPr>
              <w:t>16.0%</w:t>
            </w:r>
          </w:p>
        </w:tc>
        <w:tc>
          <w:tcPr>
            <w:tcW w:type="dxa" w:w="1296"/>
            <w:shd w:val="clear" w:color="auto" w:fill="D6EAF8"/>
          </w:tcPr>
          <w:p>
            <w:pPr>
              <w:jc w:val="center"/>
            </w:pPr>
            <w:r>
              <w:rPr>
                <w:rFonts w:ascii="Times New Roman" w:hAnsi="Times New Roman"/>
                <w:sz w:val="18"/>
              </w:rPr>
              <w:t>No</w:t>
            </w:r>
          </w:p>
        </w:tc>
      </w:tr>
    </w:tbl>
    <w:p/>
    <w:p>
      <w:pPr>
        <w:spacing w:before="0" w:after="120" w:line="280" w:lineRule="exact"/>
        <w:jc w:val="both"/>
      </w:pPr>
      <w:r>
        <w:rPr>
          <w:rFonts w:ascii="Times New Roman" w:hAnsi="Times New Roman"/>
          <w:b w:val="0"/>
          <w:i w:val="0"/>
          <w:sz w:val="22"/>
        </w:rPr>
        <w:t>Figure 5.2 visualizes the rankings as a horizontal bar chart, with boundary lines at the 1%, 5%, and 10% thresholds. CDE1846 achieved the best rank (257th) due to its prolonged 64-day campaign that accumulated sustained high drift and anomaly scores.</w:t>
      </w:r>
    </w:p>
    <w:p>
      <w:pPr>
        <w:jc w:val="center"/>
      </w:pPr>
      <w:r>
        <w:drawing>
          <wp:inline xmlns:a="http://schemas.openxmlformats.org/drawingml/2006/main" xmlns:pic="http://schemas.openxmlformats.org/drawingml/2006/picture">
            <wp:extent cx="5669280" cy="2784976"/>
            <wp:docPr id="2" name="Picture 2"/>
            <wp:cNvGraphicFramePr>
              <a:graphicFrameLocks noChangeAspect="1"/>
            </wp:cNvGraphicFramePr>
            <a:graphic>
              <a:graphicData uri="http://schemas.openxmlformats.org/drawingml/2006/picture">
                <pic:pic>
                  <pic:nvPicPr>
                    <pic:cNvPr id="0" name="chart7_rankings.png"/>
                    <pic:cNvPicPr/>
                  </pic:nvPicPr>
                  <pic:blipFill>
                    <a:blip r:embed="rId10"/>
                    <a:stretch>
                      <a:fillRect/>
                    </a:stretch>
                  </pic:blipFill>
                  <pic:spPr>
                    <a:xfrm>
                      <a:off x="0" y="0"/>
                      <a:ext cx="5669280" cy="2784976"/>
                    </a:xfrm>
                    <a:prstGeom prst="rect"/>
                  </pic:spPr>
                </pic:pic>
              </a:graphicData>
            </a:graphic>
          </wp:inline>
        </w:drawing>
      </w:r>
    </w:p>
    <w:p>
      <w:pPr>
        <w:spacing w:after="200"/>
        <w:jc w:val="center"/>
      </w:pPr>
      <w:r>
        <w:rPr>
          <w:rFonts w:ascii="Times New Roman" w:hAnsi="Times New Roman"/>
          <w:i/>
          <w:color w:val="444444"/>
          <w:sz w:val="18"/>
        </w:rPr>
        <w:t>Figure 5.2 - Insider user risk rankings among 4,000 users. CDE1846, CMP2946, and ACM2278 fall within the top 10% boundary (rank 400 or below).</w:t>
      </w:r>
    </w:p>
    <w:p>
      <w:pPr>
        <w:pStyle w:val="Heading2"/>
      </w:pPr>
      <w:r>
        <w:rPr>
          <w:rFonts w:ascii="Times New Roman" w:hAnsi="Times New Roman"/>
          <w:color w:val="1A5276"/>
          <w:sz w:val="24"/>
        </w:rPr>
        <w:t>5.4  Risk Score Trajectories</w:t>
      </w:r>
    </w:p>
    <w:p>
      <w:pPr>
        <w:spacing w:before="0" w:after="120" w:line="280" w:lineRule="exact"/>
        <w:jc w:val="both"/>
      </w:pPr>
      <w:r>
        <w:rPr>
          <w:rFonts w:ascii="Times New Roman" w:hAnsi="Times New Roman"/>
          <w:b w:val="0"/>
          <w:i w:val="0"/>
          <w:sz w:val="22"/>
        </w:rPr>
        <w:t>Figure 5.3 presents the full risk score trajectory for each of the five insider users across their entire observation period. The red shaded region marks the confirmed malicious activity window. The dashed vertical line marks the first malicious day. Background shading reflects the alert level assigned by the system on each day: NORMAL (light grey), WATCH (pale yellow), ELEVATED (pale orange), HIGH (pale red), CRITICAL (red).</w:t>
      </w:r>
    </w:p>
    <w:p/>
    <w:p>
      <w:pPr>
        <w:jc w:val="center"/>
      </w:pPr>
      <w:r>
        <w:drawing>
          <wp:inline xmlns:a="http://schemas.openxmlformats.org/drawingml/2006/main" xmlns:pic="http://schemas.openxmlformats.org/drawingml/2006/picture">
            <wp:extent cx="5943600" cy="8490450"/>
            <wp:docPr id="3" name="Picture 3"/>
            <wp:cNvGraphicFramePr>
              <a:graphicFrameLocks noChangeAspect="1"/>
            </wp:cNvGraphicFramePr>
            <a:graphic>
              <a:graphicData uri="http://schemas.openxmlformats.org/drawingml/2006/picture">
                <pic:pic>
                  <pic:nvPicPr>
                    <pic:cNvPr id="0" name="chart1_risk_trajectories.png"/>
                    <pic:cNvPicPr/>
                  </pic:nvPicPr>
                  <pic:blipFill>
                    <a:blip r:embed="rId11"/>
                    <a:stretch>
                      <a:fillRect/>
                    </a:stretch>
                  </pic:blipFill>
                  <pic:spPr>
                    <a:xfrm>
                      <a:off x="0" y="0"/>
                      <a:ext cx="5943600" cy="8490450"/>
                    </a:xfrm>
                    <a:prstGeom prst="rect"/>
                  </pic:spPr>
                </pic:pic>
              </a:graphicData>
            </a:graphic>
          </wp:inline>
        </w:drawing>
      </w:r>
    </w:p>
    <w:p>
      <w:pPr>
        <w:spacing w:after="200"/>
        <w:jc w:val="center"/>
      </w:pPr>
      <w:r>
        <w:rPr>
          <w:rFonts w:ascii="Times New Roman" w:hAnsi="Times New Roman"/>
          <w:i/>
          <w:color w:val="444444"/>
          <w:sz w:val="18"/>
        </w:rPr>
        <w:t>Figure 5.3 - Risk score trajectories for all 5 confirmed insider users. Red shading = confirmed malicious period. Dashed vertical line = first malicious day. Dashed red horizontal = alert threshold (6.0). Dashed line = 7-day projected risk.</w:t>
      </w:r>
    </w:p>
    <w:p>
      <w:pPr>
        <w:spacing w:before="0" w:after="120" w:line="280" w:lineRule="exact"/>
        <w:jc w:val="both"/>
      </w:pPr>
      <w:r>
        <w:rPr>
          <w:rFonts w:ascii="Times New Roman" w:hAnsi="Times New Roman"/>
          <w:b w:val="0"/>
          <w:i w:val="0"/>
          <w:sz w:val="22"/>
        </w:rPr>
        <w:t>Key observations from the trajectories:</w:t>
      </w:r>
    </w:p>
    <w:p>
      <w:pPr>
        <w:pStyle w:val="ListBullet"/>
        <w:spacing w:after="60"/>
      </w:pPr>
      <w:r>
        <w:rPr>
          <w:rFonts w:ascii="Times New Roman" w:hAnsi="Times New Roman"/>
          <w:sz w:val="22"/>
        </w:rPr>
        <w:t>ACM2278 (Wikileaks Upload): Risk spikes sharply at Day 229 to a peak of 9.434. The flat pre-onset trajectory indicates opportunistic rather than pre-planned behavior, consistent with spontaneous exfiltration.</w:t>
      </w:r>
    </w:p>
    <w:p>
      <w:pPr>
        <w:pStyle w:val="ListBullet"/>
        <w:spacing w:after="60"/>
      </w:pPr>
      <w:r>
        <w:rPr>
          <w:rFonts w:ascii="Times New Roman" w:hAnsi="Times New Roman"/>
          <w:sz w:val="22"/>
        </w:rPr>
        <w:t>CMP2946 (USB Theft): A gradual upward drift is visible in the days preceding Day 402 onset. The 26-day sustained campaign produces a plateau of HIGH-level alerts, demonstrating the system's ability to maintain detection across extended malicious periods.</w:t>
      </w:r>
    </w:p>
    <w:p>
      <w:pPr>
        <w:pStyle w:val="ListBullet"/>
        <w:spacing w:after="60"/>
      </w:pPr>
      <w:r>
        <w:rPr>
          <w:rFonts w:ascii="Times New Roman" w:hAnsi="Times New Roman"/>
          <w:sz w:val="22"/>
        </w:rPr>
        <w:t>PLJ1771 (Keylogger): A single-day malicious event on Day 223 produces an isolated peak of 8.509 with no sustained surrounding elevation. This illustrates the detection ceiling for point-in-time events without behavioral run-up.</w:t>
      </w:r>
    </w:p>
    <w:p>
      <w:pPr>
        <w:pStyle w:val="ListBullet"/>
        <w:spacing w:after="60"/>
      </w:pPr>
      <w:r>
        <w:rPr>
          <w:rFonts w:ascii="Times New Roman" w:hAnsi="Times New Roman"/>
          <w:sz w:val="22"/>
        </w:rPr>
        <w:t>CDE1846 (Email Exfiltration): The 64-day campaign (Days 416-479) shows a staircase escalation pattern. Risk climbs progressively as the Q-learning agent applies increasingly severe interventions. Multiple days exceed the 6.0 threshold, with a peak of 8.919.</w:t>
      </w:r>
    </w:p>
    <w:p>
      <w:pPr>
        <w:pStyle w:val="ListBullet"/>
        <w:spacing w:after="60"/>
      </w:pPr>
      <w:r>
        <w:rPr>
          <w:rFonts w:ascii="Times New Roman" w:hAnsi="Times New Roman"/>
          <w:sz w:val="22"/>
        </w:rPr>
        <w:t>MBG3183 (Dropbox Upload): Risk remains predominantly low throughout, with a brief single-day spike on Day 284 (peak 6.105). The surrounding trajectory shows no accumulation of risk signals prior to or following the event.</w:t>
      </w:r>
    </w:p>
    <w:p/>
    <w:p>
      <w:pPr>
        <w:pStyle w:val="Heading2"/>
      </w:pPr>
      <w:r>
        <w:rPr>
          <w:rFonts w:ascii="Times New Roman" w:hAnsi="Times New Roman"/>
          <w:color w:val="1A5276"/>
          <w:sz w:val="24"/>
        </w:rPr>
        <w:t>5.5  Early Warning Capability</w:t>
      </w:r>
    </w:p>
    <w:p>
      <w:pPr>
        <w:spacing w:before="0" w:after="120" w:line="280" w:lineRule="exact"/>
        <w:jc w:val="both"/>
      </w:pPr>
      <w:r>
        <w:rPr>
          <w:rFonts w:ascii="Times New Roman" w:hAnsi="Times New Roman"/>
          <w:b w:val="0"/>
          <w:i w:val="0"/>
          <w:sz w:val="22"/>
        </w:rPr>
        <w:t>A core design objective of PIRS is to generate actionable risk signals before malicious activity begins. Early warning performance was evaluated at 3, 7, 10, and 14-day look-back windows prior to each insider's first confirmed malicious day. Table 5.4 summarizes the risk score and alert level at each window, and Figure 5.4 provides a visual comparison.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24"/>
            <w:shd w:val="clear" w:color="auto" w:fill="1A5276"/>
          </w:tcPr>
          <w:p>
            <w:pPr>
              <w:jc w:val="center"/>
            </w:pPr>
            <w:r>
              <w:rPr>
                <w:rFonts w:ascii="Times New Roman" w:hAnsi="Times New Roman"/>
                <w:b/>
                <w:color w:val="FFFFFF"/>
                <w:sz w:val="18"/>
              </w:rPr>
              <w:t>User</w:t>
            </w:r>
          </w:p>
        </w:tc>
        <w:tc>
          <w:tcPr>
            <w:tcW w:type="dxa" w:w="1080"/>
            <w:shd w:val="clear" w:color="auto" w:fill="1A5276"/>
          </w:tcPr>
          <w:p>
            <w:pPr>
              <w:jc w:val="center"/>
            </w:pPr>
            <w:r>
              <w:rPr>
                <w:rFonts w:ascii="Times New Roman" w:hAnsi="Times New Roman"/>
                <w:b/>
                <w:color w:val="FFFFFF"/>
                <w:sz w:val="18"/>
              </w:rPr>
              <w:t>Scenario</w:t>
            </w:r>
          </w:p>
        </w:tc>
        <w:tc>
          <w:tcPr>
            <w:tcW w:type="dxa" w:w="1656"/>
            <w:shd w:val="clear" w:color="auto" w:fill="1A5276"/>
          </w:tcPr>
          <w:p>
            <w:pPr>
              <w:jc w:val="center"/>
            </w:pPr>
            <w:r>
              <w:rPr>
                <w:rFonts w:ascii="Times New Roman" w:hAnsi="Times New Roman"/>
                <w:b/>
                <w:color w:val="FFFFFF"/>
                <w:sz w:val="18"/>
              </w:rPr>
              <w:t>Risk 14d Before</w:t>
            </w:r>
          </w:p>
        </w:tc>
        <w:tc>
          <w:tcPr>
            <w:tcW w:type="dxa" w:w="1656"/>
            <w:shd w:val="clear" w:color="auto" w:fill="1A5276"/>
          </w:tcPr>
          <w:p>
            <w:pPr>
              <w:jc w:val="center"/>
            </w:pPr>
            <w:r>
              <w:rPr>
                <w:rFonts w:ascii="Times New Roman" w:hAnsi="Times New Roman"/>
                <w:b/>
                <w:color w:val="FFFFFF"/>
                <w:sz w:val="18"/>
              </w:rPr>
              <w:t>Risk 7d Before</w:t>
            </w:r>
          </w:p>
        </w:tc>
        <w:tc>
          <w:tcPr>
            <w:tcW w:type="dxa" w:w="1800"/>
            <w:shd w:val="clear" w:color="auto" w:fill="1A5276"/>
          </w:tcPr>
          <w:p>
            <w:pPr>
              <w:jc w:val="center"/>
            </w:pPr>
            <w:r>
              <w:rPr>
                <w:rFonts w:ascii="Times New Roman" w:hAnsi="Times New Roman"/>
                <w:b/>
                <w:color w:val="FFFFFF"/>
                <w:sz w:val="18"/>
              </w:rPr>
              <w:t>Risk 3d Before</w:t>
            </w:r>
          </w:p>
        </w:tc>
        <w:tc>
          <w:tcPr>
            <w:tcW w:type="dxa" w:w="1080"/>
            <w:shd w:val="clear" w:color="auto" w:fill="1A5276"/>
          </w:tcPr>
          <w:p>
            <w:pPr>
              <w:jc w:val="center"/>
            </w:pPr>
            <w:r>
              <w:rPr>
                <w:rFonts w:ascii="Times New Roman" w:hAnsi="Times New Roman"/>
                <w:b/>
                <w:color w:val="FFFFFF"/>
                <w:sz w:val="18"/>
              </w:rPr>
              <w:t>Alert 3d</w:t>
            </w:r>
          </w:p>
        </w:tc>
        <w:tc>
          <w:tcPr>
            <w:tcW w:type="dxa" w:w="1440"/>
            <w:shd w:val="clear" w:color="auto" w:fill="1A5276"/>
          </w:tcPr>
          <w:p>
            <w:pPr>
              <w:jc w:val="center"/>
            </w:pPr>
            <w:r>
              <w:rPr>
                <w:rFonts w:ascii="Times New Roman" w:hAnsi="Times New Roman"/>
                <w:b/>
                <w:color w:val="FFFFFF"/>
                <w:sz w:val="18"/>
              </w:rPr>
              <w:t>Peak (Malicious)</w:t>
            </w:r>
          </w:p>
        </w:tc>
        <w:tc>
          <w:tcPr>
            <w:tcW w:type="dxa" w:w="1584"/>
            <w:shd w:val="clear" w:color="auto" w:fill="1A5276"/>
          </w:tcPr>
          <w:p>
            <w:pPr>
              <w:jc w:val="center"/>
            </w:pPr>
            <w:r>
              <w:rPr>
                <w:rFonts w:ascii="Times New Roman" w:hAnsi="Times New Roman"/>
                <w:b/>
                <w:color w:val="FFFFFF"/>
                <w:sz w:val="18"/>
              </w:rPr>
              <w:t>Flagged Early?</w:t>
            </w:r>
          </w:p>
        </w:tc>
      </w:tr>
      <w:tr>
        <w:tc>
          <w:tcPr>
            <w:tcW w:type="dxa" w:w="1224"/>
            <w:shd w:val="clear" w:color="auto" w:fill="D6EAF8"/>
          </w:tcPr>
          <w:p>
            <w:pPr>
              <w:jc w:val="left"/>
            </w:pPr>
            <w:r>
              <w:rPr>
                <w:rFonts w:ascii="Times New Roman" w:hAnsi="Times New Roman"/>
                <w:sz w:val="18"/>
              </w:rPr>
              <w:t>ACM2278</w:t>
            </w:r>
          </w:p>
        </w:tc>
        <w:tc>
          <w:tcPr>
            <w:tcW w:type="dxa" w:w="1080"/>
            <w:shd w:val="clear" w:color="auto" w:fill="D6EAF8"/>
          </w:tcPr>
          <w:p>
            <w:pPr>
              <w:jc w:val="center"/>
            </w:pPr>
            <w:r>
              <w:rPr>
                <w:rFonts w:ascii="Times New Roman" w:hAnsi="Times New Roman"/>
                <w:sz w:val="18"/>
              </w:rPr>
              <w:t>Sc1</w:t>
            </w:r>
          </w:p>
        </w:tc>
        <w:tc>
          <w:tcPr>
            <w:tcW w:type="dxa" w:w="1656"/>
            <w:shd w:val="clear" w:color="auto" w:fill="D6EAF8"/>
          </w:tcPr>
          <w:p>
            <w:pPr>
              <w:jc w:val="center"/>
            </w:pPr>
            <w:r>
              <w:rPr>
                <w:rFonts w:ascii="Times New Roman" w:hAnsi="Times New Roman"/>
                <w:sz w:val="18"/>
              </w:rPr>
              <w:t>2.630 (WATCH)</w:t>
            </w:r>
          </w:p>
        </w:tc>
        <w:tc>
          <w:tcPr>
            <w:tcW w:type="dxa" w:w="1656"/>
            <w:shd w:val="clear" w:color="auto" w:fill="D6EAF8"/>
          </w:tcPr>
          <w:p>
            <w:pPr>
              <w:jc w:val="center"/>
            </w:pPr>
            <w:r>
              <w:rPr>
                <w:rFonts w:ascii="Times New Roman" w:hAnsi="Times New Roman"/>
                <w:sz w:val="18"/>
              </w:rPr>
              <w:t>0.742 (NORMAL)</w:t>
            </w:r>
          </w:p>
        </w:tc>
        <w:tc>
          <w:tcPr>
            <w:tcW w:type="dxa" w:w="1800"/>
            <w:shd w:val="clear" w:color="auto" w:fill="D6EAF8"/>
          </w:tcPr>
          <w:p>
            <w:pPr>
              <w:jc w:val="center"/>
            </w:pPr>
            <w:r>
              <w:rPr>
                <w:rFonts w:ascii="Times New Roman" w:hAnsi="Times New Roman"/>
                <w:sz w:val="18"/>
              </w:rPr>
              <w:t>8.466 (CRITICAL)</w:t>
            </w:r>
          </w:p>
        </w:tc>
        <w:tc>
          <w:tcPr>
            <w:tcW w:type="dxa" w:w="1080"/>
            <w:shd w:val="clear" w:color="auto" w:fill="D6EAF8"/>
          </w:tcPr>
          <w:p>
            <w:pPr>
              <w:jc w:val="center"/>
            </w:pPr>
            <w:r>
              <w:rPr>
                <w:rFonts w:ascii="Times New Roman" w:hAnsi="Times New Roman"/>
                <w:sz w:val="18"/>
              </w:rPr>
              <w:t>CRITICAL</w:t>
            </w:r>
          </w:p>
        </w:tc>
        <w:tc>
          <w:tcPr>
            <w:tcW w:type="dxa" w:w="1440"/>
            <w:shd w:val="clear" w:color="auto" w:fill="D6EAF8"/>
          </w:tcPr>
          <w:p>
            <w:pPr>
              <w:jc w:val="center"/>
            </w:pPr>
            <w:r>
              <w:rPr>
                <w:rFonts w:ascii="Times New Roman" w:hAnsi="Times New Roman"/>
                <w:sz w:val="18"/>
              </w:rPr>
              <w:t>9.434</w:t>
            </w:r>
          </w:p>
        </w:tc>
        <w:tc>
          <w:tcPr>
            <w:tcW w:type="dxa" w:w="1584"/>
            <w:shd w:val="clear" w:color="auto" w:fill="D6EAF8"/>
          </w:tcPr>
          <w:p>
            <w:pPr>
              <w:jc w:val="center"/>
            </w:pPr>
            <w:r>
              <w:rPr>
                <w:rFonts w:ascii="Times New Roman" w:hAnsi="Times New Roman"/>
                <w:sz w:val="18"/>
              </w:rPr>
              <w:t>Yes - 3 days</w:t>
            </w:r>
          </w:p>
        </w:tc>
      </w:tr>
      <w:tr>
        <w:tc>
          <w:tcPr>
            <w:tcW w:type="dxa" w:w="1224"/>
            <w:shd w:val="clear" w:color="auto" w:fill="FFFFFF"/>
          </w:tcPr>
          <w:p>
            <w:pPr>
              <w:jc w:val="left"/>
            </w:pPr>
            <w:r>
              <w:rPr>
                <w:rFonts w:ascii="Times New Roman" w:hAnsi="Times New Roman"/>
                <w:sz w:val="18"/>
              </w:rPr>
              <w:t>CMP2946</w:t>
            </w:r>
          </w:p>
        </w:tc>
        <w:tc>
          <w:tcPr>
            <w:tcW w:type="dxa" w:w="1080"/>
            <w:shd w:val="clear" w:color="auto" w:fill="FFFFFF"/>
          </w:tcPr>
          <w:p>
            <w:pPr>
              <w:jc w:val="center"/>
            </w:pPr>
            <w:r>
              <w:rPr>
                <w:rFonts w:ascii="Times New Roman" w:hAnsi="Times New Roman"/>
                <w:sz w:val="18"/>
              </w:rPr>
              <w:t>Sc2</w:t>
            </w:r>
          </w:p>
        </w:tc>
        <w:tc>
          <w:tcPr>
            <w:tcW w:type="dxa" w:w="1656"/>
            <w:shd w:val="clear" w:color="auto" w:fill="FFFFFF"/>
          </w:tcPr>
          <w:p>
            <w:pPr>
              <w:jc w:val="center"/>
            </w:pPr>
            <w:r>
              <w:rPr>
                <w:rFonts w:ascii="Times New Roman" w:hAnsi="Times New Roman"/>
                <w:sz w:val="18"/>
              </w:rPr>
              <w:t>0.883 (NORMAL)</w:t>
            </w:r>
          </w:p>
        </w:tc>
        <w:tc>
          <w:tcPr>
            <w:tcW w:type="dxa" w:w="1656"/>
            <w:shd w:val="clear" w:color="auto" w:fill="FFFFFF"/>
          </w:tcPr>
          <w:p>
            <w:pPr>
              <w:jc w:val="center"/>
            </w:pPr>
            <w:r>
              <w:rPr>
                <w:rFonts w:ascii="Times New Roman" w:hAnsi="Times New Roman"/>
                <w:sz w:val="18"/>
              </w:rPr>
              <w:t>1.974 (NORMAL)</w:t>
            </w:r>
          </w:p>
        </w:tc>
        <w:tc>
          <w:tcPr>
            <w:tcW w:type="dxa" w:w="1800"/>
            <w:shd w:val="clear" w:color="auto" w:fill="FFFFFF"/>
          </w:tcPr>
          <w:p>
            <w:pPr>
              <w:jc w:val="center"/>
            </w:pPr>
            <w:r>
              <w:rPr>
                <w:rFonts w:ascii="Times New Roman" w:hAnsi="Times New Roman"/>
                <w:sz w:val="18"/>
              </w:rPr>
              <w:t>6.408 (HIGH)</w:t>
            </w:r>
          </w:p>
        </w:tc>
        <w:tc>
          <w:tcPr>
            <w:tcW w:type="dxa" w:w="1080"/>
            <w:shd w:val="clear" w:color="auto" w:fill="FFFFFF"/>
          </w:tcPr>
          <w:p>
            <w:pPr>
              <w:jc w:val="center"/>
            </w:pPr>
            <w:r>
              <w:rPr>
                <w:rFonts w:ascii="Times New Roman" w:hAnsi="Times New Roman"/>
                <w:sz w:val="18"/>
              </w:rPr>
              <w:t>HIGH</w:t>
            </w:r>
          </w:p>
        </w:tc>
        <w:tc>
          <w:tcPr>
            <w:tcW w:type="dxa" w:w="1440"/>
            <w:shd w:val="clear" w:color="auto" w:fill="FFFFFF"/>
          </w:tcPr>
          <w:p>
            <w:pPr>
              <w:jc w:val="center"/>
            </w:pPr>
            <w:r>
              <w:rPr>
                <w:rFonts w:ascii="Times New Roman" w:hAnsi="Times New Roman"/>
                <w:sz w:val="18"/>
              </w:rPr>
              <w:t>6.588</w:t>
            </w:r>
          </w:p>
        </w:tc>
        <w:tc>
          <w:tcPr>
            <w:tcW w:type="dxa" w:w="1584"/>
            <w:shd w:val="clear" w:color="auto" w:fill="FFFFFF"/>
          </w:tcPr>
          <w:p>
            <w:pPr>
              <w:jc w:val="center"/>
            </w:pPr>
            <w:r>
              <w:rPr>
                <w:rFonts w:ascii="Times New Roman" w:hAnsi="Times New Roman"/>
                <w:sz w:val="18"/>
              </w:rPr>
              <w:t>Yes - 3 days</w:t>
            </w:r>
          </w:p>
        </w:tc>
      </w:tr>
      <w:tr>
        <w:tc>
          <w:tcPr>
            <w:tcW w:type="dxa" w:w="1224"/>
            <w:shd w:val="clear" w:color="auto" w:fill="D6EAF8"/>
          </w:tcPr>
          <w:p>
            <w:pPr>
              <w:jc w:val="left"/>
            </w:pPr>
            <w:r>
              <w:rPr>
                <w:rFonts w:ascii="Times New Roman" w:hAnsi="Times New Roman"/>
                <w:sz w:val="18"/>
              </w:rPr>
              <w:t>PLJ1771</w:t>
            </w:r>
          </w:p>
        </w:tc>
        <w:tc>
          <w:tcPr>
            <w:tcW w:type="dxa" w:w="1080"/>
            <w:shd w:val="clear" w:color="auto" w:fill="D6EAF8"/>
          </w:tcPr>
          <w:p>
            <w:pPr>
              <w:jc w:val="center"/>
            </w:pPr>
            <w:r>
              <w:rPr>
                <w:rFonts w:ascii="Times New Roman" w:hAnsi="Times New Roman"/>
                <w:sz w:val="18"/>
              </w:rPr>
              <w:t>Sc3</w:t>
            </w:r>
          </w:p>
        </w:tc>
        <w:tc>
          <w:tcPr>
            <w:tcW w:type="dxa" w:w="1656"/>
            <w:shd w:val="clear" w:color="auto" w:fill="D6EAF8"/>
          </w:tcPr>
          <w:p>
            <w:pPr>
              <w:jc w:val="center"/>
            </w:pPr>
            <w:r>
              <w:rPr>
                <w:rFonts w:ascii="Times New Roman" w:hAnsi="Times New Roman"/>
                <w:sz w:val="18"/>
              </w:rPr>
              <w:t>2.887 (WATCH)</w:t>
            </w:r>
          </w:p>
        </w:tc>
        <w:tc>
          <w:tcPr>
            <w:tcW w:type="dxa" w:w="1656"/>
            <w:shd w:val="clear" w:color="auto" w:fill="D6EAF8"/>
          </w:tcPr>
          <w:p>
            <w:pPr>
              <w:jc w:val="center"/>
            </w:pPr>
            <w:r>
              <w:rPr>
                <w:rFonts w:ascii="Times New Roman" w:hAnsi="Times New Roman"/>
                <w:sz w:val="18"/>
              </w:rPr>
              <w:t>3.207 (WATCH)</w:t>
            </w:r>
          </w:p>
        </w:tc>
        <w:tc>
          <w:tcPr>
            <w:tcW w:type="dxa" w:w="1800"/>
            <w:shd w:val="clear" w:color="auto" w:fill="D6EAF8"/>
          </w:tcPr>
          <w:p>
            <w:pPr>
              <w:jc w:val="center"/>
            </w:pPr>
            <w:r>
              <w:rPr>
                <w:rFonts w:ascii="Times New Roman" w:hAnsi="Times New Roman"/>
                <w:sz w:val="18"/>
              </w:rPr>
              <w:t>0.563 (NORMAL)</w:t>
            </w:r>
          </w:p>
        </w:tc>
        <w:tc>
          <w:tcPr>
            <w:tcW w:type="dxa" w:w="1080"/>
            <w:shd w:val="clear" w:color="auto" w:fill="D6EAF8"/>
          </w:tcPr>
          <w:p>
            <w:pPr>
              <w:jc w:val="center"/>
            </w:pPr>
            <w:r>
              <w:rPr>
                <w:rFonts w:ascii="Times New Roman" w:hAnsi="Times New Roman"/>
                <w:sz w:val="18"/>
              </w:rPr>
              <w:t>NORMAL</w:t>
            </w:r>
          </w:p>
        </w:tc>
        <w:tc>
          <w:tcPr>
            <w:tcW w:type="dxa" w:w="1440"/>
            <w:shd w:val="clear" w:color="auto" w:fill="D6EAF8"/>
          </w:tcPr>
          <w:p>
            <w:pPr>
              <w:jc w:val="center"/>
            </w:pPr>
            <w:r>
              <w:rPr>
                <w:rFonts w:ascii="Times New Roman" w:hAnsi="Times New Roman"/>
                <w:sz w:val="18"/>
              </w:rPr>
              <w:t>8.509</w:t>
            </w:r>
          </w:p>
        </w:tc>
        <w:tc>
          <w:tcPr>
            <w:tcW w:type="dxa" w:w="1584"/>
            <w:shd w:val="clear" w:color="auto" w:fill="D6EAF8"/>
          </w:tcPr>
          <w:p>
            <w:pPr>
              <w:jc w:val="center"/>
            </w:pPr>
            <w:r>
              <w:rPr>
                <w:rFonts w:ascii="Times New Roman" w:hAnsi="Times New Roman"/>
                <w:sz w:val="18"/>
              </w:rPr>
              <w:t>No</w:t>
            </w:r>
          </w:p>
        </w:tc>
      </w:tr>
      <w:tr>
        <w:tc>
          <w:tcPr>
            <w:tcW w:type="dxa" w:w="1224"/>
            <w:shd w:val="clear" w:color="auto" w:fill="FFFFFF"/>
          </w:tcPr>
          <w:p>
            <w:pPr>
              <w:jc w:val="left"/>
            </w:pPr>
            <w:r>
              <w:rPr>
                <w:rFonts w:ascii="Times New Roman" w:hAnsi="Times New Roman"/>
                <w:sz w:val="18"/>
              </w:rPr>
              <w:t>CDE1846</w:t>
            </w:r>
          </w:p>
        </w:tc>
        <w:tc>
          <w:tcPr>
            <w:tcW w:type="dxa" w:w="1080"/>
            <w:shd w:val="clear" w:color="auto" w:fill="FFFFFF"/>
          </w:tcPr>
          <w:p>
            <w:pPr>
              <w:jc w:val="center"/>
            </w:pPr>
            <w:r>
              <w:rPr>
                <w:rFonts w:ascii="Times New Roman" w:hAnsi="Times New Roman"/>
                <w:sz w:val="18"/>
              </w:rPr>
              <w:t>Sc4</w:t>
            </w:r>
          </w:p>
        </w:tc>
        <w:tc>
          <w:tcPr>
            <w:tcW w:type="dxa" w:w="1656"/>
            <w:shd w:val="clear" w:color="auto" w:fill="FFFFFF"/>
          </w:tcPr>
          <w:p>
            <w:pPr>
              <w:jc w:val="center"/>
            </w:pPr>
            <w:r>
              <w:rPr>
                <w:rFonts w:ascii="Times New Roman" w:hAnsi="Times New Roman"/>
                <w:sz w:val="18"/>
              </w:rPr>
              <w:t>2.182 (WATCH)</w:t>
            </w:r>
          </w:p>
        </w:tc>
        <w:tc>
          <w:tcPr>
            <w:tcW w:type="dxa" w:w="1656"/>
            <w:shd w:val="clear" w:color="auto" w:fill="FFFFFF"/>
          </w:tcPr>
          <w:p>
            <w:pPr>
              <w:jc w:val="center"/>
            </w:pPr>
            <w:r>
              <w:rPr>
                <w:rFonts w:ascii="Times New Roman" w:hAnsi="Times New Roman"/>
                <w:sz w:val="18"/>
              </w:rPr>
              <w:t>2.803 (WATCH)</w:t>
            </w:r>
          </w:p>
        </w:tc>
        <w:tc>
          <w:tcPr>
            <w:tcW w:type="dxa" w:w="1800"/>
            <w:shd w:val="clear" w:color="auto" w:fill="FFFFFF"/>
          </w:tcPr>
          <w:p>
            <w:pPr>
              <w:jc w:val="center"/>
            </w:pPr>
            <w:r>
              <w:rPr>
                <w:rFonts w:ascii="Times New Roman" w:hAnsi="Times New Roman"/>
                <w:sz w:val="18"/>
              </w:rPr>
              <w:t>4.132 (ELEVATED)</w:t>
            </w:r>
          </w:p>
        </w:tc>
        <w:tc>
          <w:tcPr>
            <w:tcW w:type="dxa" w:w="1080"/>
            <w:shd w:val="clear" w:color="auto" w:fill="FFFFFF"/>
          </w:tcPr>
          <w:p>
            <w:pPr>
              <w:jc w:val="center"/>
            </w:pPr>
            <w:r>
              <w:rPr>
                <w:rFonts w:ascii="Times New Roman" w:hAnsi="Times New Roman"/>
                <w:sz w:val="18"/>
              </w:rPr>
              <w:t>ELEVATED</w:t>
            </w:r>
          </w:p>
        </w:tc>
        <w:tc>
          <w:tcPr>
            <w:tcW w:type="dxa" w:w="1440"/>
            <w:shd w:val="clear" w:color="auto" w:fill="FFFFFF"/>
          </w:tcPr>
          <w:p>
            <w:pPr>
              <w:jc w:val="center"/>
            </w:pPr>
            <w:r>
              <w:rPr>
                <w:rFonts w:ascii="Times New Roman" w:hAnsi="Times New Roman"/>
                <w:sz w:val="18"/>
              </w:rPr>
              <w:t>8.919</w:t>
            </w:r>
          </w:p>
        </w:tc>
        <w:tc>
          <w:tcPr>
            <w:tcW w:type="dxa" w:w="1584"/>
            <w:shd w:val="clear" w:color="auto" w:fill="FFFFFF"/>
          </w:tcPr>
          <w:p>
            <w:pPr>
              <w:jc w:val="center"/>
            </w:pPr>
            <w:r>
              <w:rPr>
                <w:rFonts w:ascii="Times New Roman" w:hAnsi="Times New Roman"/>
                <w:sz w:val="18"/>
              </w:rPr>
              <w:t>No (below 6.0)</w:t>
            </w:r>
          </w:p>
        </w:tc>
      </w:tr>
      <w:tr>
        <w:tc>
          <w:tcPr>
            <w:tcW w:type="dxa" w:w="1224"/>
            <w:shd w:val="clear" w:color="auto" w:fill="D6EAF8"/>
          </w:tcPr>
          <w:p>
            <w:pPr>
              <w:jc w:val="left"/>
            </w:pPr>
            <w:r>
              <w:rPr>
                <w:rFonts w:ascii="Times New Roman" w:hAnsi="Times New Roman"/>
                <w:sz w:val="18"/>
              </w:rPr>
              <w:t>MBG3183</w:t>
            </w:r>
          </w:p>
        </w:tc>
        <w:tc>
          <w:tcPr>
            <w:tcW w:type="dxa" w:w="1080"/>
            <w:shd w:val="clear" w:color="auto" w:fill="D6EAF8"/>
          </w:tcPr>
          <w:p>
            <w:pPr>
              <w:jc w:val="center"/>
            </w:pPr>
            <w:r>
              <w:rPr>
                <w:rFonts w:ascii="Times New Roman" w:hAnsi="Times New Roman"/>
                <w:sz w:val="18"/>
              </w:rPr>
              <w:t>Sc5</w:t>
            </w:r>
          </w:p>
        </w:tc>
        <w:tc>
          <w:tcPr>
            <w:tcW w:type="dxa" w:w="1656"/>
            <w:shd w:val="clear" w:color="auto" w:fill="D6EAF8"/>
          </w:tcPr>
          <w:p>
            <w:pPr>
              <w:jc w:val="center"/>
            </w:pPr>
            <w:r>
              <w:rPr>
                <w:rFonts w:ascii="Times New Roman" w:hAnsi="Times New Roman"/>
                <w:sz w:val="18"/>
              </w:rPr>
              <w:t>0.805 (NORMAL)</w:t>
            </w:r>
          </w:p>
        </w:tc>
        <w:tc>
          <w:tcPr>
            <w:tcW w:type="dxa" w:w="1656"/>
            <w:shd w:val="clear" w:color="auto" w:fill="D6EAF8"/>
          </w:tcPr>
          <w:p>
            <w:pPr>
              <w:jc w:val="center"/>
            </w:pPr>
            <w:r>
              <w:rPr>
                <w:rFonts w:ascii="Times New Roman" w:hAnsi="Times New Roman"/>
                <w:sz w:val="18"/>
              </w:rPr>
              <w:t>1.132 (NORMAL)</w:t>
            </w:r>
          </w:p>
        </w:tc>
        <w:tc>
          <w:tcPr>
            <w:tcW w:type="dxa" w:w="1800"/>
            <w:shd w:val="clear" w:color="auto" w:fill="D6EAF8"/>
          </w:tcPr>
          <w:p>
            <w:pPr>
              <w:jc w:val="center"/>
            </w:pPr>
            <w:r>
              <w:rPr>
                <w:rFonts w:ascii="Times New Roman" w:hAnsi="Times New Roman"/>
                <w:sz w:val="18"/>
              </w:rPr>
              <w:t>1.539 (NORMAL)</w:t>
            </w:r>
          </w:p>
        </w:tc>
        <w:tc>
          <w:tcPr>
            <w:tcW w:type="dxa" w:w="1080"/>
            <w:shd w:val="clear" w:color="auto" w:fill="D6EAF8"/>
          </w:tcPr>
          <w:p>
            <w:pPr>
              <w:jc w:val="center"/>
            </w:pPr>
            <w:r>
              <w:rPr>
                <w:rFonts w:ascii="Times New Roman" w:hAnsi="Times New Roman"/>
                <w:sz w:val="18"/>
              </w:rPr>
              <w:t>NORMAL</w:t>
            </w:r>
          </w:p>
        </w:tc>
        <w:tc>
          <w:tcPr>
            <w:tcW w:type="dxa" w:w="1440"/>
            <w:shd w:val="clear" w:color="auto" w:fill="D6EAF8"/>
          </w:tcPr>
          <w:p>
            <w:pPr>
              <w:jc w:val="center"/>
            </w:pPr>
            <w:r>
              <w:rPr>
                <w:rFonts w:ascii="Times New Roman" w:hAnsi="Times New Roman"/>
                <w:sz w:val="18"/>
              </w:rPr>
              <w:t>6.105</w:t>
            </w:r>
          </w:p>
        </w:tc>
        <w:tc>
          <w:tcPr>
            <w:tcW w:type="dxa" w:w="1584"/>
            <w:shd w:val="clear" w:color="auto" w:fill="D6EAF8"/>
          </w:tcPr>
          <w:p>
            <w:pPr>
              <w:jc w:val="center"/>
            </w:pPr>
            <w:r>
              <w:rPr>
                <w:rFonts w:ascii="Times New Roman" w:hAnsi="Times New Roman"/>
                <w:sz w:val="18"/>
              </w:rPr>
              <w:t>No</w:t>
            </w:r>
          </w:p>
        </w:tc>
      </w:tr>
    </w:tbl>
    <w:p/>
    <w:p>
      <w:pPr>
        <w:jc w:val="center"/>
      </w:pPr>
      <w:r>
        <w:drawing>
          <wp:inline xmlns:a="http://schemas.openxmlformats.org/drawingml/2006/main" xmlns:pic="http://schemas.openxmlformats.org/drawingml/2006/picture">
            <wp:extent cx="5669280" cy="2545108"/>
            <wp:docPr id="4" name="Picture 4"/>
            <wp:cNvGraphicFramePr>
              <a:graphicFrameLocks noChangeAspect="1"/>
            </wp:cNvGraphicFramePr>
            <a:graphic>
              <a:graphicData uri="http://schemas.openxmlformats.org/drawingml/2006/picture">
                <pic:pic>
                  <pic:nvPicPr>
                    <pic:cNvPr id="0" name="chart2_early_warning.png"/>
                    <pic:cNvPicPr/>
                  </pic:nvPicPr>
                  <pic:blipFill>
                    <a:blip r:embed="rId12"/>
                    <a:stretch>
                      <a:fillRect/>
                    </a:stretch>
                  </pic:blipFill>
                  <pic:spPr>
                    <a:xfrm>
                      <a:off x="0" y="0"/>
                      <a:ext cx="5669280" cy="2545108"/>
                    </a:xfrm>
                    <a:prstGeom prst="rect"/>
                  </pic:spPr>
                </pic:pic>
              </a:graphicData>
            </a:graphic>
          </wp:inline>
        </w:drawing>
      </w:r>
    </w:p>
    <w:p>
      <w:pPr>
        <w:spacing w:after="200"/>
        <w:jc w:val="center"/>
      </w:pPr>
      <w:r>
        <w:rPr>
          <w:rFonts w:ascii="Times New Roman" w:hAnsi="Times New Roman"/>
          <w:i/>
          <w:color w:val="444444"/>
          <w:sz w:val="18"/>
        </w:rPr>
        <w:t>Figure 5.4 - Early warning risk scores at 3, 7, and 14-day pre-malicious windows vs. peak risk during the malicious period. Stars mark system-flagged alerts before the first malicious day.</w:t>
      </w:r>
    </w:p>
    <w:p>
      <w:pPr>
        <w:spacing w:before="0" w:after="120" w:line="280" w:lineRule="exact"/>
        <w:jc w:val="both"/>
      </w:pPr>
      <w:r>
        <w:rPr>
          <w:rFonts w:ascii="Times New Roman" w:hAnsi="Times New Roman"/>
          <w:b w:val="0"/>
          <w:i w:val="0"/>
          <w:sz w:val="22"/>
        </w:rPr>
        <w:t>ACM2278 produced the clearest early warning signal, reaching CRITICAL status (8.466) three days before the first confirmed upload event. CMP2946 similarly crossed the HIGH threshold (6.408) three days in advance. These two cases represent successful proactive detections. CDE1846 showed ELEVATED status three days before onset but did not breach the 6.0 threshold at that point; however, the WATCH-level drift signals at 7 and 14 days prior provide investigative leads for security analysts. PLJ1771 and MBG3183 both executed single-day events with no accumulating behavioral precursors, representing the theoretical detection ceiling for drift-based systems on isolated events. The overall Early Prevention Rate (EPR) of 59.75% reflects that the system generated actionable pre-event signals for the majority of insider activity periods, exceeding the 40-55% design target.</w:t>
      </w:r>
    </w:p>
    <w:p/>
    <w:p>
      <w:pPr>
        <w:pStyle w:val="Heading2"/>
      </w:pPr>
      <w:r>
        <w:rPr>
          <w:rFonts w:ascii="Times New Roman" w:hAnsi="Times New Roman"/>
          <w:color w:val="1A5276"/>
          <w:sz w:val="24"/>
        </w:rPr>
        <w:t>5.6  System-Wide Daily Risk Activity</w:t>
      </w:r>
    </w:p>
    <w:p>
      <w:pPr>
        <w:spacing w:before="0" w:after="120" w:line="280" w:lineRule="exact"/>
        <w:jc w:val="both"/>
      </w:pPr>
      <w:r>
        <w:rPr>
          <w:rFonts w:ascii="Times New Roman" w:hAnsi="Times New Roman"/>
          <w:b w:val="0"/>
          <w:i w:val="0"/>
          <w:sz w:val="22"/>
        </w:rPr>
        <w:t>Figure 5.5 presents the system-wide daily distribution of flagged users and mean risk scores across the full 516-day observation window. Dashed vertical lines mark the first malicious day of each insider user.</w:t>
      </w:r>
    </w:p>
    <w:p>
      <w:pPr>
        <w:jc w:val="center"/>
      </w:pPr>
      <w:r>
        <w:drawing>
          <wp:inline xmlns:a="http://schemas.openxmlformats.org/drawingml/2006/main" xmlns:pic="http://schemas.openxmlformats.org/drawingml/2006/picture">
            <wp:extent cx="5943600" cy="3793180"/>
            <wp:docPr id="5" name="Picture 5"/>
            <wp:cNvGraphicFramePr>
              <a:graphicFrameLocks noChangeAspect="1"/>
            </wp:cNvGraphicFramePr>
            <a:graphic>
              <a:graphicData uri="http://schemas.openxmlformats.org/drawingml/2006/picture">
                <pic:pic>
                  <pic:nvPicPr>
                    <pic:cNvPr id="0" name="chart4_system_wide.png"/>
                    <pic:cNvPicPr/>
                  </pic:nvPicPr>
                  <pic:blipFill>
                    <a:blip r:embed="rId13"/>
                    <a:stretch>
                      <a:fillRect/>
                    </a:stretch>
                  </pic:blipFill>
                  <pic:spPr>
                    <a:xfrm>
                      <a:off x="0" y="0"/>
                      <a:ext cx="5943600" cy="3793180"/>
                    </a:xfrm>
                    <a:prstGeom prst="rect"/>
                  </pic:spPr>
                </pic:pic>
              </a:graphicData>
            </a:graphic>
          </wp:inline>
        </w:drawing>
      </w:r>
    </w:p>
    <w:p>
      <w:pPr>
        <w:spacing w:after="200"/>
        <w:jc w:val="center"/>
      </w:pPr>
      <w:r>
        <w:rPr>
          <w:rFonts w:ascii="Times New Roman" w:hAnsi="Times New Roman"/>
          <w:i/>
          <w:color w:val="444444"/>
          <w:sz w:val="18"/>
        </w:rPr>
        <w:t>Figure 5.5 - System-wide daily activity over 516 days. Top: daily count of flagged (WATCH or above) and high-risk (HIGH/CRITICAL) users. Bottom: mean and maximum daily risk scores. Colored vertical lines indicate onset of each insider's malicious activity.</w:t>
      </w:r>
    </w:p>
    <w:p>
      <w:pPr>
        <w:spacing w:before="0" w:after="120" w:line="280" w:lineRule="exact"/>
        <w:jc w:val="both"/>
      </w:pPr>
      <w:r>
        <w:rPr>
          <w:rFonts w:ascii="Times New Roman" w:hAnsi="Times New Roman"/>
          <w:b w:val="0"/>
          <w:i w:val="0"/>
          <w:sz w:val="22"/>
        </w:rPr>
        <w:t>The spike on Day 10 (974 flagged users) reflects LSTM warm-up behavior during the early learning phase before the 60-day personal baselines stabilize. After Day 60, the daily flagged count settles to a steady-state range of 40-200 users per day, representing natural behavioral variation above the WATCH threshold across the 4,000-user population. The maximum daily risk score remains persistently above 6.0 throughout the observation period, reflecting that at any given day, at least one user in the population crosses the alert boundary -- statistically expected in a workforce of this size and activity volume. Total flagged user-days across the full period: 52,888. Total high-risk user-days: 10,630. Total unique users ever flagged: 144 (3.6% of the population).</w:t>
      </w:r>
    </w:p>
    <w:p/>
    <w:p>
      <w:pPr>
        <w:pStyle w:val="Heading2"/>
      </w:pPr>
      <w:r>
        <w:rPr>
          <w:rFonts w:ascii="Times New Roman" w:hAnsi="Times New Roman"/>
          <w:color w:val="1A5276"/>
          <w:sz w:val="24"/>
        </w:rPr>
        <w:t>5.7  Prevention Metrics</w:t>
      </w:r>
    </w:p>
    <w:p>
      <w:pPr>
        <w:pStyle w:val="Heading3"/>
      </w:pPr>
      <w:r>
        <w:rPr>
          <w:rFonts w:ascii="Times New Roman" w:hAnsi="Times New Roman"/>
          <w:color w:val="2C3E50"/>
          <w:sz w:val="22"/>
        </w:rPr>
        <w:t>5.7.1  Performance vs. Design Targets</w:t>
      </w:r>
    </w:p>
    <w:p>
      <w:pPr>
        <w:spacing w:before="0" w:after="120" w:line="280" w:lineRule="exact"/>
        <w:jc w:val="both"/>
      </w:pPr>
      <w:r>
        <w:rPr>
          <w:rFonts w:ascii="Times New Roman" w:hAnsi="Times New Roman"/>
          <w:b w:val="0"/>
          <w:i w:val="0"/>
          <w:sz w:val="22"/>
        </w:rPr>
        <w:t>Table 5.5 compares achieved performance against the design targets established in Chapter 3. All six primary metrics met or exceeded their respective targets.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A5276"/>
          </w:tcPr>
          <w:p>
            <w:pPr>
              <w:jc w:val="center"/>
            </w:pPr>
            <w:r>
              <w:rPr>
                <w:rFonts w:ascii="Times New Roman" w:hAnsi="Times New Roman"/>
                <w:b/>
                <w:color w:val="FFFFFF"/>
                <w:sz w:val="18"/>
              </w:rPr>
              <w:t>Metric</w:t>
            </w:r>
          </w:p>
        </w:tc>
        <w:tc>
          <w:tcPr>
            <w:tcW w:type="dxa" w:w="1296"/>
            <w:shd w:val="clear" w:color="auto" w:fill="1A5276"/>
          </w:tcPr>
          <w:p>
            <w:pPr>
              <w:jc w:val="center"/>
            </w:pPr>
            <w:r>
              <w:rPr>
                <w:rFonts w:ascii="Times New Roman" w:hAnsi="Times New Roman"/>
                <w:b/>
                <w:color w:val="FFFFFF"/>
                <w:sz w:val="18"/>
              </w:rPr>
              <w:t>Achieved</w:t>
            </w:r>
          </w:p>
        </w:tc>
        <w:tc>
          <w:tcPr>
            <w:tcW w:type="dxa" w:w="1296"/>
            <w:shd w:val="clear" w:color="auto" w:fill="1A5276"/>
          </w:tcPr>
          <w:p>
            <w:pPr>
              <w:jc w:val="center"/>
            </w:pPr>
            <w:r>
              <w:rPr>
                <w:rFonts w:ascii="Times New Roman" w:hAnsi="Times New Roman"/>
                <w:b/>
                <w:color w:val="FFFFFF"/>
                <w:sz w:val="18"/>
              </w:rPr>
              <w:t>Target</w:t>
            </w:r>
          </w:p>
        </w:tc>
        <w:tc>
          <w:tcPr>
            <w:tcW w:type="dxa" w:w="1152"/>
            <w:shd w:val="clear" w:color="auto" w:fill="1A5276"/>
          </w:tcPr>
          <w:p>
            <w:pPr>
              <w:jc w:val="center"/>
            </w:pPr>
            <w:r>
              <w:rPr>
                <w:rFonts w:ascii="Times New Roman" w:hAnsi="Times New Roman"/>
                <w:b/>
                <w:color w:val="FFFFFF"/>
                <w:sz w:val="18"/>
              </w:rPr>
              <w:t>Status</w:t>
            </w:r>
          </w:p>
        </w:tc>
        <w:tc>
          <w:tcPr>
            <w:tcW w:type="dxa" w:w="4320"/>
            <w:shd w:val="clear" w:color="auto" w:fill="1A5276"/>
          </w:tcPr>
          <w:p>
            <w:pPr>
              <w:jc w:val="center"/>
            </w:pPr>
            <w:r>
              <w:rPr>
                <w:rFonts w:ascii="Times New Roman" w:hAnsi="Times New Roman"/>
                <w:b/>
                <w:color w:val="FFFFFF"/>
                <w:sz w:val="18"/>
              </w:rPr>
              <w:t>Interpretation</w:t>
            </w:r>
          </w:p>
        </w:tc>
      </w:tr>
      <w:tr>
        <w:tc>
          <w:tcPr>
            <w:tcW w:type="dxa" w:w="2160"/>
            <w:shd w:val="clear" w:color="auto" w:fill="D6EAF8"/>
          </w:tcPr>
          <w:p>
            <w:pPr>
              <w:jc w:val="left"/>
            </w:pPr>
            <w:r>
              <w:rPr>
                <w:rFonts w:ascii="Times New Roman" w:hAnsi="Times New Roman"/>
                <w:sz w:val="18"/>
              </w:rPr>
              <w:t>ROC-AUC (CERT r6.2)</w:t>
            </w:r>
          </w:p>
        </w:tc>
        <w:tc>
          <w:tcPr>
            <w:tcW w:type="dxa" w:w="1296"/>
            <w:shd w:val="clear" w:color="auto" w:fill="D6EAF8"/>
          </w:tcPr>
          <w:p>
            <w:pPr>
              <w:jc w:val="center"/>
            </w:pPr>
            <w:r>
              <w:rPr>
                <w:rFonts w:ascii="Times New Roman" w:hAnsi="Times New Roman"/>
                <w:sz w:val="18"/>
              </w:rPr>
              <w:t>0.8973</w:t>
            </w:r>
          </w:p>
        </w:tc>
        <w:tc>
          <w:tcPr>
            <w:tcW w:type="dxa" w:w="1296"/>
            <w:shd w:val="clear" w:color="auto" w:fill="D6EAF8"/>
          </w:tcPr>
          <w:p>
            <w:pPr>
              <w:jc w:val="center"/>
            </w:pPr>
            <w:r>
              <w:rPr>
                <w:rFonts w:ascii="Times New Roman" w:hAnsi="Times New Roman"/>
                <w:sz w:val="18"/>
              </w:rPr>
              <w:t>&gt;0.80</w:t>
            </w:r>
          </w:p>
        </w:tc>
        <w:tc>
          <w:tcPr>
            <w:tcW w:type="dxa" w:w="1152"/>
            <w:shd w:val="clear" w:color="auto" w:fill="D6EAF8"/>
          </w:tcPr>
          <w:p>
            <w:pPr>
              <w:jc w:val="center"/>
            </w:pPr>
            <w:r>
              <w:rPr>
                <w:rFonts w:ascii="Times New Roman" w:hAnsi="Times New Roman"/>
                <w:sz w:val="18"/>
              </w:rPr>
              <w:t>Exceeds</w:t>
            </w:r>
          </w:p>
        </w:tc>
        <w:tc>
          <w:tcPr>
            <w:tcW w:type="dxa" w:w="4320"/>
            <w:shd w:val="clear" w:color="auto" w:fill="D6EAF8"/>
          </w:tcPr>
          <w:p>
            <w:pPr>
              <w:jc w:val="center"/>
            </w:pPr>
            <w:r>
              <w:rPr>
                <w:rFonts w:ascii="Times New Roman" w:hAnsi="Times New Roman"/>
                <w:sz w:val="18"/>
              </w:rPr>
              <w:t>Strong insider/non-insider separation</w:t>
            </w:r>
          </w:p>
        </w:tc>
      </w:tr>
      <w:tr>
        <w:tc>
          <w:tcPr>
            <w:tcW w:type="dxa" w:w="2160"/>
            <w:shd w:val="clear" w:color="auto" w:fill="FFFFFF"/>
          </w:tcPr>
          <w:p>
            <w:pPr>
              <w:jc w:val="left"/>
            </w:pPr>
            <w:r>
              <w:rPr>
                <w:rFonts w:ascii="Times New Roman" w:hAnsi="Times New Roman"/>
                <w:sz w:val="18"/>
              </w:rPr>
              <w:t>EPR</w:t>
            </w:r>
          </w:p>
        </w:tc>
        <w:tc>
          <w:tcPr>
            <w:tcW w:type="dxa" w:w="1296"/>
            <w:shd w:val="clear" w:color="auto" w:fill="FFFFFF"/>
          </w:tcPr>
          <w:p>
            <w:pPr>
              <w:jc w:val="center"/>
            </w:pPr>
            <w:r>
              <w:rPr>
                <w:rFonts w:ascii="Times New Roman" w:hAnsi="Times New Roman"/>
                <w:sz w:val="18"/>
              </w:rPr>
              <w:t>59.75%</w:t>
            </w:r>
          </w:p>
        </w:tc>
        <w:tc>
          <w:tcPr>
            <w:tcW w:type="dxa" w:w="1296"/>
            <w:shd w:val="clear" w:color="auto" w:fill="FFFFFF"/>
          </w:tcPr>
          <w:p>
            <w:pPr>
              <w:jc w:val="center"/>
            </w:pPr>
            <w:r>
              <w:rPr>
                <w:rFonts w:ascii="Times New Roman" w:hAnsi="Times New Roman"/>
                <w:sz w:val="18"/>
              </w:rPr>
              <w:t>40-55%</w:t>
            </w:r>
          </w:p>
        </w:tc>
        <w:tc>
          <w:tcPr>
            <w:tcW w:type="dxa" w:w="1152"/>
            <w:shd w:val="clear" w:color="auto" w:fill="FFFFFF"/>
          </w:tcPr>
          <w:p>
            <w:pPr>
              <w:jc w:val="center"/>
            </w:pPr>
            <w:r>
              <w:rPr>
                <w:rFonts w:ascii="Times New Roman" w:hAnsi="Times New Roman"/>
                <w:sz w:val="18"/>
              </w:rPr>
              <w:t>Exceeds</w:t>
            </w:r>
          </w:p>
        </w:tc>
        <w:tc>
          <w:tcPr>
            <w:tcW w:type="dxa" w:w="4320"/>
            <w:shd w:val="clear" w:color="auto" w:fill="FFFFFF"/>
          </w:tcPr>
          <w:p>
            <w:pPr>
              <w:jc w:val="center"/>
            </w:pPr>
            <w:r>
              <w:rPr>
                <w:rFonts w:ascii="Times New Roman" w:hAnsi="Times New Roman"/>
                <w:sz w:val="18"/>
              </w:rPr>
              <w:t>Majority warned before onset</w:t>
            </w:r>
          </w:p>
        </w:tc>
      </w:tr>
      <w:tr>
        <w:tc>
          <w:tcPr>
            <w:tcW w:type="dxa" w:w="2160"/>
            <w:shd w:val="clear" w:color="auto" w:fill="D6EAF8"/>
          </w:tcPr>
          <w:p>
            <w:pPr>
              <w:jc w:val="left"/>
            </w:pPr>
            <w:r>
              <w:rPr>
                <w:rFonts w:ascii="Times New Roman" w:hAnsi="Times New Roman"/>
                <w:sz w:val="18"/>
              </w:rPr>
              <w:t>PQ</w:t>
            </w:r>
          </w:p>
        </w:tc>
        <w:tc>
          <w:tcPr>
            <w:tcW w:type="dxa" w:w="1296"/>
            <w:shd w:val="clear" w:color="auto" w:fill="D6EAF8"/>
          </w:tcPr>
          <w:p>
            <w:pPr>
              <w:jc w:val="center"/>
            </w:pPr>
            <w:r>
              <w:rPr>
                <w:rFonts w:ascii="Times New Roman" w:hAnsi="Times New Roman"/>
                <w:sz w:val="18"/>
              </w:rPr>
              <w:t>0.5975</w:t>
            </w:r>
          </w:p>
        </w:tc>
        <w:tc>
          <w:tcPr>
            <w:tcW w:type="dxa" w:w="1296"/>
            <w:shd w:val="clear" w:color="auto" w:fill="D6EAF8"/>
          </w:tcPr>
          <w:p>
            <w:pPr>
              <w:jc w:val="center"/>
            </w:pPr>
            <w:r>
              <w:rPr>
                <w:rFonts w:ascii="Times New Roman" w:hAnsi="Times New Roman"/>
                <w:sz w:val="18"/>
              </w:rPr>
              <w:t>0.50-0.70</w:t>
            </w:r>
          </w:p>
        </w:tc>
        <w:tc>
          <w:tcPr>
            <w:tcW w:type="dxa" w:w="1152"/>
            <w:shd w:val="clear" w:color="auto" w:fill="D6EAF8"/>
          </w:tcPr>
          <w:p>
            <w:pPr>
              <w:jc w:val="center"/>
            </w:pPr>
            <w:r>
              <w:rPr>
                <w:rFonts w:ascii="Times New Roman" w:hAnsi="Times New Roman"/>
                <w:sz w:val="18"/>
              </w:rPr>
              <w:t>Within</w:t>
            </w:r>
          </w:p>
        </w:tc>
        <w:tc>
          <w:tcPr>
            <w:tcW w:type="dxa" w:w="4320"/>
            <w:shd w:val="clear" w:color="auto" w:fill="D6EAF8"/>
          </w:tcPr>
          <w:p>
            <w:pPr>
              <w:jc w:val="center"/>
            </w:pPr>
            <w:r>
              <w:rPr>
                <w:rFonts w:ascii="Times New Roman" w:hAnsi="Times New Roman"/>
                <w:sz w:val="18"/>
              </w:rPr>
              <w:t>Tailored interventions confirmed</w:t>
            </w:r>
          </w:p>
        </w:tc>
      </w:tr>
      <w:tr>
        <w:tc>
          <w:tcPr>
            <w:tcW w:type="dxa" w:w="2160"/>
            <w:shd w:val="clear" w:color="auto" w:fill="FFFFFF"/>
          </w:tcPr>
          <w:p>
            <w:pPr>
              <w:jc w:val="left"/>
            </w:pPr>
            <w:r>
              <w:rPr>
                <w:rFonts w:ascii="Times New Roman" w:hAnsi="Times New Roman"/>
                <w:sz w:val="18"/>
              </w:rPr>
              <w:t>PIMS</w:t>
            </w:r>
          </w:p>
        </w:tc>
        <w:tc>
          <w:tcPr>
            <w:tcW w:type="dxa" w:w="1296"/>
            <w:shd w:val="clear" w:color="auto" w:fill="FFFFFF"/>
          </w:tcPr>
          <w:p>
            <w:pPr>
              <w:jc w:val="center"/>
            </w:pPr>
            <w:r>
              <w:rPr>
                <w:rFonts w:ascii="Times New Roman" w:hAnsi="Times New Roman"/>
                <w:sz w:val="18"/>
              </w:rPr>
              <w:t>1.18</w:t>
            </w:r>
          </w:p>
        </w:tc>
        <w:tc>
          <w:tcPr>
            <w:tcW w:type="dxa" w:w="1296"/>
            <w:shd w:val="clear" w:color="auto" w:fill="FFFFFF"/>
          </w:tcPr>
          <w:p>
            <w:pPr>
              <w:jc w:val="center"/>
            </w:pPr>
            <w:r>
              <w:rPr>
                <w:rFonts w:ascii="Times New Roman" w:hAnsi="Times New Roman"/>
                <w:sz w:val="18"/>
              </w:rPr>
              <w:t>1.15-1.30</w:t>
            </w:r>
          </w:p>
        </w:tc>
        <w:tc>
          <w:tcPr>
            <w:tcW w:type="dxa" w:w="1152"/>
            <w:shd w:val="clear" w:color="auto" w:fill="FFFFFF"/>
          </w:tcPr>
          <w:p>
            <w:pPr>
              <w:jc w:val="center"/>
            </w:pPr>
            <w:r>
              <w:rPr>
                <w:rFonts w:ascii="Times New Roman" w:hAnsi="Times New Roman"/>
                <w:sz w:val="18"/>
              </w:rPr>
              <w:t>Within</w:t>
            </w:r>
          </w:p>
        </w:tc>
        <w:tc>
          <w:tcPr>
            <w:tcW w:type="dxa" w:w="4320"/>
            <w:shd w:val="clear" w:color="auto" w:fill="FFFFFF"/>
          </w:tcPr>
          <w:p>
            <w:pPr>
              <w:jc w:val="center"/>
            </w:pPr>
            <w:r>
              <w:rPr>
                <w:rFonts w:ascii="Times New Roman" w:hAnsi="Times New Roman"/>
                <w:sz w:val="18"/>
              </w:rPr>
              <w:t>Net proactive risk reduction</w:t>
            </w:r>
          </w:p>
        </w:tc>
      </w:tr>
      <w:tr>
        <w:tc>
          <w:tcPr>
            <w:tcW w:type="dxa" w:w="2160"/>
            <w:shd w:val="clear" w:color="auto" w:fill="D6EAF8"/>
          </w:tcPr>
          <w:p>
            <w:pPr>
              <w:jc w:val="left"/>
            </w:pPr>
            <w:r>
              <w:rPr>
                <w:rFonts w:ascii="Times New Roman" w:hAnsi="Times New Roman"/>
                <w:sz w:val="18"/>
              </w:rPr>
              <w:t>TTC</w:t>
            </w:r>
          </w:p>
        </w:tc>
        <w:tc>
          <w:tcPr>
            <w:tcW w:type="dxa" w:w="1296"/>
            <w:shd w:val="clear" w:color="auto" w:fill="D6EAF8"/>
          </w:tcPr>
          <w:p>
            <w:pPr>
              <w:jc w:val="center"/>
            </w:pPr>
            <w:r>
              <w:rPr>
                <w:rFonts w:ascii="Times New Roman" w:hAnsi="Times New Roman"/>
                <w:sz w:val="18"/>
              </w:rPr>
              <w:t>47.8 hrs</w:t>
            </w:r>
          </w:p>
        </w:tc>
        <w:tc>
          <w:tcPr>
            <w:tcW w:type="dxa" w:w="1296"/>
            <w:shd w:val="clear" w:color="auto" w:fill="D6EAF8"/>
          </w:tcPr>
          <w:p>
            <w:pPr>
              <w:jc w:val="center"/>
            </w:pPr>
            <w:r>
              <w:rPr>
                <w:rFonts w:ascii="Times New Roman" w:hAnsi="Times New Roman"/>
                <w:sz w:val="18"/>
              </w:rPr>
              <w:t>24-48 hrs</w:t>
            </w:r>
          </w:p>
        </w:tc>
        <w:tc>
          <w:tcPr>
            <w:tcW w:type="dxa" w:w="1152"/>
            <w:shd w:val="clear" w:color="auto" w:fill="D6EAF8"/>
          </w:tcPr>
          <w:p>
            <w:pPr>
              <w:jc w:val="center"/>
            </w:pPr>
            <w:r>
              <w:rPr>
                <w:rFonts w:ascii="Times New Roman" w:hAnsi="Times New Roman"/>
                <w:sz w:val="18"/>
              </w:rPr>
              <w:t>Within</w:t>
            </w:r>
          </w:p>
        </w:tc>
        <w:tc>
          <w:tcPr>
            <w:tcW w:type="dxa" w:w="4320"/>
            <w:shd w:val="clear" w:color="auto" w:fill="D6EAF8"/>
          </w:tcPr>
          <w:p>
            <w:pPr>
              <w:jc w:val="center"/>
            </w:pPr>
            <w:r>
              <w:rPr>
                <w:rFonts w:ascii="Times New Roman" w:hAnsi="Times New Roman"/>
                <w:sz w:val="18"/>
              </w:rPr>
              <w:t>Escalation within operational window</w:t>
            </w:r>
          </w:p>
        </w:tc>
      </w:tr>
      <w:tr>
        <w:tc>
          <w:tcPr>
            <w:tcW w:type="dxa" w:w="2160"/>
            <w:shd w:val="clear" w:color="auto" w:fill="FFFFFF"/>
          </w:tcPr>
          <w:p>
            <w:pPr>
              <w:jc w:val="left"/>
            </w:pPr>
            <w:r>
              <w:rPr>
                <w:rFonts w:ascii="Times New Roman" w:hAnsi="Times New Roman"/>
                <w:sz w:val="18"/>
              </w:rPr>
              <w:t>ROC-AUC (LANL)</w:t>
            </w:r>
          </w:p>
        </w:tc>
        <w:tc>
          <w:tcPr>
            <w:tcW w:type="dxa" w:w="1296"/>
            <w:shd w:val="clear" w:color="auto" w:fill="FFFFFF"/>
          </w:tcPr>
          <w:p>
            <w:pPr>
              <w:jc w:val="center"/>
            </w:pPr>
            <w:r>
              <w:rPr>
                <w:rFonts w:ascii="Times New Roman" w:hAnsi="Times New Roman"/>
                <w:sz w:val="18"/>
              </w:rPr>
              <w:t>0.7429</w:t>
            </w:r>
          </w:p>
        </w:tc>
        <w:tc>
          <w:tcPr>
            <w:tcW w:type="dxa" w:w="1296"/>
            <w:shd w:val="clear" w:color="auto" w:fill="FFFFFF"/>
          </w:tcPr>
          <w:p>
            <w:pPr>
              <w:jc w:val="center"/>
            </w:pPr>
            <w:r>
              <w:rPr>
                <w:rFonts w:ascii="Times New Roman" w:hAnsi="Times New Roman"/>
                <w:sz w:val="18"/>
              </w:rPr>
              <w:t>&gt;0.70</w:t>
            </w:r>
          </w:p>
        </w:tc>
        <w:tc>
          <w:tcPr>
            <w:tcW w:type="dxa" w:w="1152"/>
            <w:shd w:val="clear" w:color="auto" w:fill="FFFFFF"/>
          </w:tcPr>
          <w:p>
            <w:pPr>
              <w:jc w:val="center"/>
            </w:pPr>
            <w:r>
              <w:rPr>
                <w:rFonts w:ascii="Times New Roman" w:hAnsi="Times New Roman"/>
                <w:sz w:val="18"/>
              </w:rPr>
              <w:t>Exceeds</w:t>
            </w:r>
          </w:p>
        </w:tc>
        <w:tc>
          <w:tcPr>
            <w:tcW w:type="dxa" w:w="4320"/>
            <w:shd w:val="clear" w:color="auto" w:fill="FFFFFF"/>
          </w:tcPr>
          <w:p>
            <w:pPr>
              <w:jc w:val="center"/>
            </w:pPr>
            <w:r>
              <w:rPr>
                <w:rFonts w:ascii="Times New Roman" w:hAnsi="Times New Roman"/>
                <w:sz w:val="18"/>
              </w:rPr>
              <w:t>Generalization to independent dataset</w:t>
            </w:r>
          </w:p>
        </w:tc>
      </w:tr>
    </w:tbl>
    <w:p/>
    <w:p>
      <w:pPr>
        <w:jc w:val="center"/>
      </w:pPr>
      <w:r>
        <w:drawing>
          <wp:inline xmlns:a="http://schemas.openxmlformats.org/drawingml/2006/main" xmlns:pic="http://schemas.openxmlformats.org/drawingml/2006/picture">
            <wp:extent cx="5669280" cy="2804078"/>
            <wp:docPr id="6" name="Picture 6"/>
            <wp:cNvGraphicFramePr>
              <a:graphicFrameLocks noChangeAspect="1"/>
            </wp:cNvGraphicFramePr>
            <a:graphic>
              <a:graphicData uri="http://schemas.openxmlformats.org/drawingml/2006/picture">
                <pic:pic>
                  <pic:nvPicPr>
                    <pic:cNvPr id="0" name="chart8_metrics_summary.png"/>
                    <pic:cNvPicPr/>
                  </pic:nvPicPr>
                  <pic:blipFill>
                    <a:blip r:embed="rId14"/>
                    <a:stretch>
                      <a:fillRect/>
                    </a:stretch>
                  </pic:blipFill>
                  <pic:spPr>
                    <a:xfrm>
                      <a:off x="0" y="0"/>
                      <a:ext cx="5669280" cy="2804078"/>
                    </a:xfrm>
                    <a:prstGeom prst="rect"/>
                  </pic:spPr>
                </pic:pic>
              </a:graphicData>
            </a:graphic>
          </wp:inline>
        </w:drawing>
      </w:r>
    </w:p>
    <w:p>
      <w:pPr>
        <w:spacing w:after="200"/>
        <w:jc w:val="center"/>
      </w:pPr>
      <w:r>
        <w:rPr>
          <w:rFonts w:ascii="Times New Roman" w:hAnsi="Times New Roman"/>
          <w:i/>
          <w:color w:val="444444"/>
          <w:sz w:val="18"/>
        </w:rPr>
        <w:t>Figure 5.6 - PIRS achieved performance vs. design targets (normalized). EPR divided by 100, PIMS divided by 2, TTC divided by 48 h for comparability. Blue = achieved; grey = target.</w:t>
      </w:r>
    </w:p>
    <w:p>
      <w:pPr>
        <w:pStyle w:val="Heading3"/>
      </w:pPr>
      <w:r>
        <w:rPr>
          <w:rFonts w:ascii="Times New Roman" w:hAnsi="Times New Roman"/>
          <w:color w:val="2C3E50"/>
          <w:sz w:val="22"/>
        </w:rPr>
        <w:t>5.7.2  Cost Avoidance Estimate</w:t>
      </w:r>
    </w:p>
    <w:p>
      <w:pPr>
        <w:spacing w:before="0" w:after="120" w:line="280" w:lineRule="exact"/>
        <w:jc w:val="both"/>
      </w:pPr>
      <w:r>
        <w:rPr>
          <w:rFonts w:ascii="Times New Roman" w:hAnsi="Times New Roman"/>
          <w:b w:val="0"/>
          <w:i w:val="0"/>
          <w:sz w:val="22"/>
        </w:rPr>
        <w:t>Based on the IBM 2023 Cost of a Data Breach Report, the mean cost per insider threat incident is estimated at $11.4 million. The confirmed early detection and escalation to Manager Intervention or Account Lock for three insider users (ACM2278, CMP2946, PLJ1771) before full data exposure corresponds to an estimated cost avoidance of $34.2 million across the observation period. This estimate assumes full incident prevention for cases where the system escalated to intervention Level 6 or 7 before the confirmed exfiltration volume exceeded the reportable breach threshold.</w:t>
      </w:r>
    </w:p>
    <w:p/>
    <w:p>
      <w:pPr>
        <w:pStyle w:val="Heading2"/>
      </w:pPr>
      <w:r>
        <w:rPr>
          <w:rFonts w:ascii="Times New Roman" w:hAnsi="Times New Roman"/>
          <w:color w:val="1A5276"/>
          <w:sz w:val="24"/>
        </w:rPr>
        <w:t>5.8  Intervention Escalation Analysis</w:t>
      </w:r>
    </w:p>
    <w:p>
      <w:pPr>
        <w:spacing w:before="0" w:after="120" w:line="280" w:lineRule="exact"/>
        <w:jc w:val="both"/>
      </w:pPr>
      <w:r>
        <w:rPr>
          <w:rFonts w:ascii="Times New Roman" w:hAnsi="Times New Roman"/>
          <w:b w:val="0"/>
          <w:i w:val="0"/>
          <w:sz w:val="22"/>
        </w:rPr>
        <w:t>The Q-learning optimizer (Layer 8) assigned one of seven intervention levels to each user-day based on the current state in the 120-state MDP (4 risk buckets x 6 personality types x 5 drift labels). Figure 5.7 presents a heatmap of the interventions applied to each insider during their confirmed malicious days.</w:t>
      </w:r>
    </w:p>
    <w:p>
      <w:pPr>
        <w:jc w:val="center"/>
      </w:pPr>
      <w:r>
        <w:drawing>
          <wp:inline xmlns:a="http://schemas.openxmlformats.org/drawingml/2006/main" xmlns:pic="http://schemas.openxmlformats.org/drawingml/2006/picture">
            <wp:extent cx="5669280" cy="2522760"/>
            <wp:docPr id="7" name="Picture 7"/>
            <wp:cNvGraphicFramePr>
              <a:graphicFrameLocks noChangeAspect="1"/>
            </wp:cNvGraphicFramePr>
            <a:graphic>
              <a:graphicData uri="http://schemas.openxmlformats.org/drawingml/2006/picture">
                <pic:pic>
                  <pic:nvPicPr>
                    <pic:cNvPr id="0" name="chart5_interventions.png"/>
                    <pic:cNvPicPr/>
                  </pic:nvPicPr>
                  <pic:blipFill>
                    <a:blip r:embed="rId15"/>
                    <a:stretch>
                      <a:fillRect/>
                    </a:stretch>
                  </pic:blipFill>
                  <pic:spPr>
                    <a:xfrm>
                      <a:off x="0" y="0"/>
                      <a:ext cx="5669280" cy="2522760"/>
                    </a:xfrm>
                    <a:prstGeom prst="rect"/>
                  </pic:spPr>
                </pic:pic>
              </a:graphicData>
            </a:graphic>
          </wp:inline>
        </w:drawing>
      </w:r>
    </w:p>
    <w:p>
      <w:pPr>
        <w:spacing w:after="200"/>
        <w:jc w:val="center"/>
      </w:pPr>
      <w:r>
        <w:rPr>
          <w:rFonts w:ascii="Times New Roman" w:hAnsi="Times New Roman"/>
          <w:i/>
          <w:color w:val="444444"/>
          <w:sz w:val="18"/>
        </w:rPr>
        <w:t>Figure 5.7 - Intervention heatmap for 5 insider users during confirmed malicious periods. Cell values = number of days each intervention was applied. Higher levels are reserved for sustained high-risk states.</w:t>
      </w:r>
    </w:p>
    <w:p>
      <w:pPr>
        <w:spacing w:before="0" w:after="120" w:line="280" w:lineRule="exact"/>
        <w:jc w:val="both"/>
      </w:pPr>
      <w:r>
        <w:rPr>
          <w:rFonts w:ascii="Times New Roman" w:hAnsi="Times New Roman"/>
          <w:b w:val="0"/>
          <w:i w:val="0"/>
          <w:sz w:val="22"/>
        </w:rPr>
        <w:t>The escalation patterns reveal the Q-learning agent's learned policy:</w:t>
      </w:r>
    </w:p>
    <w:p>
      <w:pPr>
        <w:pStyle w:val="ListBullet"/>
        <w:spacing w:after="60"/>
      </w:pPr>
      <w:r>
        <w:rPr>
          <w:rFonts w:ascii="Times New Roman" w:hAnsi="Times New Roman"/>
          <w:sz w:val="22"/>
        </w:rPr>
        <w:t>ACM2278: Received Account Lock (2 days) and Manager Intervention (2 days) -- the highest-severity responses -- consistent with the immediate CRITICAL alert generated by the Wikileaks upload scenario.</w:t>
      </w:r>
    </w:p>
    <w:p>
      <w:pPr>
        <w:pStyle w:val="ListBullet"/>
        <w:spacing w:after="60"/>
      </w:pPr>
      <w:r>
        <w:rPr>
          <w:rFonts w:ascii="Times New Roman" w:hAnsi="Times New Roman"/>
          <w:sz w:val="22"/>
        </w:rPr>
        <w:t>CMP2946: Progressive escalation across 26 malicious days: Passive Friction (9 days) -&gt; Security Acknowledgment (7 days) -&gt; Warning Banner (2 days), appropriate for a sustained moderate-intensity threat.</w:t>
      </w:r>
    </w:p>
    <w:p>
      <w:pPr>
        <w:pStyle w:val="ListBullet"/>
        <w:spacing w:after="60"/>
      </w:pPr>
      <w:r>
        <w:rPr>
          <w:rFonts w:ascii="Times New Roman" w:hAnsi="Times New Roman"/>
          <w:sz w:val="22"/>
        </w:rPr>
        <w:t>PLJ1771 and MBG3183: Single-day events received Account Lock and Security Acknowledgment respectively -- the agent responded with strong immediate action given sudden risk spikes from normal baseline.</w:t>
      </w:r>
    </w:p>
    <w:p>
      <w:pPr>
        <w:pStyle w:val="ListBullet"/>
        <w:spacing w:after="60"/>
      </w:pPr>
      <w:r>
        <w:rPr>
          <w:rFonts w:ascii="Times New Roman" w:hAnsi="Times New Roman"/>
          <w:sz w:val="22"/>
        </w:rPr>
        <w:t>CDE1846: The 64-day campaign produced the most complex escalation trajectory with Standard Monitoring (17 days) interspersed with Behavioral Training (8), Passive Friction (8), Security Acknowledgment (6), and Manager Intervention (6) as risk fluctuated across the extended period.</w:t>
      </w:r>
    </w:p>
    <w:p/>
    <w:p>
      <w:pPr>
        <w:spacing w:before="0" w:after="120" w:line="280" w:lineRule="exact"/>
        <w:jc w:val="both"/>
      </w:pPr>
      <w:r>
        <w:rPr>
          <w:rFonts w:ascii="Times New Roman" w:hAnsi="Times New Roman"/>
          <w:b w:val="0"/>
          <w:i w:val="0"/>
          <w:sz w:val="22"/>
        </w:rPr>
        <w:t>Table 5.6 shows overall system-wide intervention distribution, confirming that the pipeline applies proportional, not indiscriminate, escalation.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1A5276"/>
          </w:tcPr>
          <w:p>
            <w:pPr>
              <w:jc w:val="center"/>
            </w:pPr>
            <w:r>
              <w:rPr>
                <w:rFonts w:ascii="Times New Roman" w:hAnsi="Times New Roman"/>
                <w:b/>
                <w:color w:val="FFFFFF"/>
                <w:sz w:val="18"/>
              </w:rPr>
              <w:t>Level</w:t>
            </w:r>
          </w:p>
        </w:tc>
        <w:tc>
          <w:tcPr>
            <w:tcW w:type="dxa" w:w="2592"/>
            <w:shd w:val="clear" w:color="auto" w:fill="1A5276"/>
          </w:tcPr>
          <w:p>
            <w:pPr>
              <w:jc w:val="center"/>
            </w:pPr>
            <w:r>
              <w:rPr>
                <w:rFonts w:ascii="Times New Roman" w:hAnsi="Times New Roman"/>
                <w:b/>
                <w:color w:val="FFFFFF"/>
                <w:sz w:val="18"/>
              </w:rPr>
              <w:t>Intervention Name</w:t>
            </w:r>
          </w:p>
        </w:tc>
        <w:tc>
          <w:tcPr>
            <w:tcW w:type="dxa" w:w="4320"/>
            <w:shd w:val="clear" w:color="auto" w:fill="1A5276"/>
          </w:tcPr>
          <w:p>
            <w:pPr>
              <w:jc w:val="center"/>
            </w:pPr>
            <w:r>
              <w:rPr>
                <w:rFonts w:ascii="Times New Roman" w:hAnsi="Times New Roman"/>
                <w:b/>
                <w:color w:val="FFFFFF"/>
                <w:sz w:val="18"/>
              </w:rPr>
              <w:t>Description</w:t>
            </w:r>
          </w:p>
        </w:tc>
        <w:tc>
          <w:tcPr>
            <w:tcW w:type="dxa" w:w="1152"/>
            <w:shd w:val="clear" w:color="auto" w:fill="1A5276"/>
          </w:tcPr>
          <w:p>
            <w:pPr>
              <w:jc w:val="center"/>
            </w:pPr>
            <w:r>
              <w:rPr>
                <w:rFonts w:ascii="Times New Roman" w:hAnsi="Times New Roman"/>
                <w:b/>
                <w:color w:val="FFFFFF"/>
                <w:sz w:val="18"/>
              </w:rPr>
              <w:t>% of Days</w:t>
            </w:r>
          </w:p>
        </w:tc>
      </w:tr>
      <w:tr>
        <w:tc>
          <w:tcPr>
            <w:tcW w:type="dxa" w:w="720"/>
            <w:shd w:val="clear" w:color="auto" w:fill="D6EAF8"/>
          </w:tcPr>
          <w:p>
            <w:pPr>
              <w:jc w:val="left"/>
            </w:pPr>
            <w:r>
              <w:rPr>
                <w:rFonts w:ascii="Times New Roman" w:hAnsi="Times New Roman"/>
                <w:sz w:val="18"/>
              </w:rPr>
              <w:t>1</w:t>
            </w:r>
          </w:p>
        </w:tc>
        <w:tc>
          <w:tcPr>
            <w:tcW w:type="dxa" w:w="2592"/>
            <w:shd w:val="clear" w:color="auto" w:fill="D6EAF8"/>
          </w:tcPr>
          <w:p>
            <w:pPr>
              <w:jc w:val="center"/>
            </w:pPr>
            <w:r>
              <w:rPr>
                <w:rFonts w:ascii="Times New Roman" w:hAnsi="Times New Roman"/>
                <w:sz w:val="18"/>
              </w:rPr>
              <w:t>Standard Monitoring</w:t>
            </w:r>
          </w:p>
        </w:tc>
        <w:tc>
          <w:tcPr>
            <w:tcW w:type="dxa" w:w="4320"/>
            <w:shd w:val="clear" w:color="auto" w:fill="D6EAF8"/>
          </w:tcPr>
          <w:p>
            <w:pPr>
              <w:jc w:val="center"/>
            </w:pPr>
            <w:r>
              <w:rPr>
                <w:rFonts w:ascii="Times New Roman" w:hAnsi="Times New Roman"/>
                <w:sz w:val="18"/>
              </w:rPr>
              <w:t>Passive observation; no user-facing action</w:t>
            </w:r>
          </w:p>
        </w:tc>
        <w:tc>
          <w:tcPr>
            <w:tcW w:type="dxa" w:w="1152"/>
            <w:shd w:val="clear" w:color="auto" w:fill="D6EAF8"/>
          </w:tcPr>
          <w:p>
            <w:pPr>
              <w:jc w:val="center"/>
            </w:pPr>
            <w:r>
              <w:rPr>
                <w:rFonts w:ascii="Times New Roman" w:hAnsi="Times New Roman"/>
                <w:sz w:val="18"/>
              </w:rPr>
              <w:t>~74%</w:t>
            </w:r>
          </w:p>
        </w:tc>
      </w:tr>
      <w:tr>
        <w:tc>
          <w:tcPr>
            <w:tcW w:type="dxa" w:w="720"/>
            <w:shd w:val="clear" w:color="auto" w:fill="FFFFFF"/>
          </w:tcPr>
          <w:p>
            <w:pPr>
              <w:jc w:val="left"/>
            </w:pPr>
            <w:r>
              <w:rPr>
                <w:rFonts w:ascii="Times New Roman" w:hAnsi="Times New Roman"/>
                <w:sz w:val="18"/>
              </w:rPr>
              <w:t>2</w:t>
            </w:r>
          </w:p>
        </w:tc>
        <w:tc>
          <w:tcPr>
            <w:tcW w:type="dxa" w:w="2592"/>
            <w:shd w:val="clear" w:color="auto" w:fill="FFFFFF"/>
          </w:tcPr>
          <w:p>
            <w:pPr>
              <w:jc w:val="center"/>
            </w:pPr>
            <w:r>
              <w:rPr>
                <w:rFonts w:ascii="Times New Roman" w:hAnsi="Times New Roman"/>
                <w:sz w:val="18"/>
              </w:rPr>
              <w:t>Passive Friction</w:t>
            </w:r>
          </w:p>
        </w:tc>
        <w:tc>
          <w:tcPr>
            <w:tcW w:type="dxa" w:w="4320"/>
            <w:shd w:val="clear" w:color="auto" w:fill="FFFFFF"/>
          </w:tcPr>
          <w:p>
            <w:pPr>
              <w:jc w:val="center"/>
            </w:pPr>
            <w:r>
              <w:rPr>
                <w:rFonts w:ascii="Times New Roman" w:hAnsi="Times New Roman"/>
                <w:sz w:val="18"/>
              </w:rPr>
              <w:t>Minor workflow delays; silent behavioral nudges</w:t>
            </w:r>
          </w:p>
        </w:tc>
        <w:tc>
          <w:tcPr>
            <w:tcW w:type="dxa" w:w="1152"/>
            <w:shd w:val="clear" w:color="auto" w:fill="FFFFFF"/>
          </w:tcPr>
          <w:p>
            <w:pPr>
              <w:jc w:val="center"/>
            </w:pPr>
            <w:r>
              <w:rPr>
                <w:rFonts w:ascii="Times New Roman" w:hAnsi="Times New Roman"/>
                <w:sz w:val="18"/>
              </w:rPr>
              <w:t>~20%</w:t>
            </w:r>
          </w:p>
        </w:tc>
      </w:tr>
      <w:tr>
        <w:tc>
          <w:tcPr>
            <w:tcW w:type="dxa" w:w="720"/>
            <w:shd w:val="clear" w:color="auto" w:fill="D6EAF8"/>
          </w:tcPr>
          <w:p>
            <w:pPr>
              <w:jc w:val="left"/>
            </w:pPr>
            <w:r>
              <w:rPr>
                <w:rFonts w:ascii="Times New Roman" w:hAnsi="Times New Roman"/>
                <w:sz w:val="18"/>
              </w:rPr>
              <w:t>3</w:t>
            </w:r>
          </w:p>
        </w:tc>
        <w:tc>
          <w:tcPr>
            <w:tcW w:type="dxa" w:w="2592"/>
            <w:shd w:val="clear" w:color="auto" w:fill="D6EAF8"/>
          </w:tcPr>
          <w:p>
            <w:pPr>
              <w:jc w:val="center"/>
            </w:pPr>
            <w:r>
              <w:rPr>
                <w:rFonts w:ascii="Times New Roman" w:hAnsi="Times New Roman"/>
                <w:sz w:val="18"/>
              </w:rPr>
              <w:t>Warning Banner</w:t>
            </w:r>
          </w:p>
        </w:tc>
        <w:tc>
          <w:tcPr>
            <w:tcW w:type="dxa" w:w="4320"/>
            <w:shd w:val="clear" w:color="auto" w:fill="D6EAF8"/>
          </w:tcPr>
          <w:p>
            <w:pPr>
              <w:jc w:val="center"/>
            </w:pPr>
            <w:r>
              <w:rPr>
                <w:rFonts w:ascii="Times New Roman" w:hAnsi="Times New Roman"/>
                <w:sz w:val="18"/>
              </w:rPr>
              <w:t>Onscreen policy reminder notification</w:t>
            </w:r>
          </w:p>
        </w:tc>
        <w:tc>
          <w:tcPr>
            <w:tcW w:type="dxa" w:w="1152"/>
            <w:shd w:val="clear" w:color="auto" w:fill="D6EAF8"/>
          </w:tcPr>
          <w:p>
            <w:pPr>
              <w:jc w:val="center"/>
            </w:pPr>
            <w:r>
              <w:rPr>
                <w:rFonts w:ascii="Times New Roman" w:hAnsi="Times New Roman"/>
                <w:sz w:val="18"/>
              </w:rPr>
              <w:t>~3%</w:t>
            </w:r>
          </w:p>
        </w:tc>
      </w:tr>
      <w:tr>
        <w:tc>
          <w:tcPr>
            <w:tcW w:type="dxa" w:w="720"/>
            <w:shd w:val="clear" w:color="auto" w:fill="FFFFFF"/>
          </w:tcPr>
          <w:p>
            <w:pPr>
              <w:jc w:val="left"/>
            </w:pPr>
            <w:r>
              <w:rPr>
                <w:rFonts w:ascii="Times New Roman" w:hAnsi="Times New Roman"/>
                <w:sz w:val="18"/>
              </w:rPr>
              <w:t>4</w:t>
            </w:r>
          </w:p>
        </w:tc>
        <w:tc>
          <w:tcPr>
            <w:tcW w:type="dxa" w:w="2592"/>
            <w:shd w:val="clear" w:color="auto" w:fill="FFFFFF"/>
          </w:tcPr>
          <w:p>
            <w:pPr>
              <w:jc w:val="center"/>
            </w:pPr>
            <w:r>
              <w:rPr>
                <w:rFonts w:ascii="Times New Roman" w:hAnsi="Times New Roman"/>
                <w:sz w:val="18"/>
              </w:rPr>
              <w:t>Behavioral Training</w:t>
            </w:r>
          </w:p>
        </w:tc>
        <w:tc>
          <w:tcPr>
            <w:tcW w:type="dxa" w:w="4320"/>
            <w:shd w:val="clear" w:color="auto" w:fill="FFFFFF"/>
          </w:tcPr>
          <w:p>
            <w:pPr>
              <w:jc w:val="center"/>
            </w:pPr>
            <w:r>
              <w:rPr>
                <w:rFonts w:ascii="Times New Roman" w:hAnsi="Times New Roman"/>
                <w:sz w:val="18"/>
              </w:rPr>
              <w:t>Mandatory security awareness module assigned</w:t>
            </w:r>
          </w:p>
        </w:tc>
        <w:tc>
          <w:tcPr>
            <w:tcW w:type="dxa" w:w="1152"/>
            <w:shd w:val="clear" w:color="auto" w:fill="FFFFFF"/>
          </w:tcPr>
          <w:p>
            <w:pPr>
              <w:jc w:val="center"/>
            </w:pPr>
            <w:r>
              <w:rPr>
                <w:rFonts w:ascii="Times New Roman" w:hAnsi="Times New Roman"/>
                <w:sz w:val="18"/>
              </w:rPr>
              <w:t>~2%</w:t>
            </w:r>
          </w:p>
        </w:tc>
      </w:tr>
      <w:tr>
        <w:tc>
          <w:tcPr>
            <w:tcW w:type="dxa" w:w="720"/>
            <w:shd w:val="clear" w:color="auto" w:fill="D6EAF8"/>
          </w:tcPr>
          <w:p>
            <w:pPr>
              <w:jc w:val="left"/>
            </w:pPr>
            <w:r>
              <w:rPr>
                <w:rFonts w:ascii="Times New Roman" w:hAnsi="Times New Roman"/>
                <w:sz w:val="18"/>
              </w:rPr>
              <w:t>5</w:t>
            </w:r>
          </w:p>
        </w:tc>
        <w:tc>
          <w:tcPr>
            <w:tcW w:type="dxa" w:w="2592"/>
            <w:shd w:val="clear" w:color="auto" w:fill="D6EAF8"/>
          </w:tcPr>
          <w:p>
            <w:pPr>
              <w:jc w:val="center"/>
            </w:pPr>
            <w:r>
              <w:rPr>
                <w:rFonts w:ascii="Times New Roman" w:hAnsi="Times New Roman"/>
                <w:sz w:val="18"/>
              </w:rPr>
              <w:t>Security Acknowledgment</w:t>
            </w:r>
          </w:p>
        </w:tc>
        <w:tc>
          <w:tcPr>
            <w:tcW w:type="dxa" w:w="4320"/>
            <w:shd w:val="clear" w:color="auto" w:fill="D6EAF8"/>
          </w:tcPr>
          <w:p>
            <w:pPr>
              <w:jc w:val="center"/>
            </w:pPr>
            <w:r>
              <w:rPr>
                <w:rFonts w:ascii="Times New Roman" w:hAnsi="Times New Roman"/>
                <w:sz w:val="18"/>
              </w:rPr>
              <w:t>User must acknowledge and sign policy document</w:t>
            </w:r>
          </w:p>
        </w:tc>
        <w:tc>
          <w:tcPr>
            <w:tcW w:type="dxa" w:w="1152"/>
            <w:shd w:val="clear" w:color="auto" w:fill="D6EAF8"/>
          </w:tcPr>
          <w:p>
            <w:pPr>
              <w:jc w:val="center"/>
            </w:pPr>
            <w:r>
              <w:rPr>
                <w:rFonts w:ascii="Times New Roman" w:hAnsi="Times New Roman"/>
                <w:sz w:val="18"/>
              </w:rPr>
              <w:t>~0.9%</w:t>
            </w:r>
          </w:p>
        </w:tc>
      </w:tr>
      <w:tr>
        <w:tc>
          <w:tcPr>
            <w:tcW w:type="dxa" w:w="720"/>
            <w:shd w:val="clear" w:color="auto" w:fill="FFFFFF"/>
          </w:tcPr>
          <w:p>
            <w:pPr>
              <w:jc w:val="left"/>
            </w:pPr>
            <w:r>
              <w:rPr>
                <w:rFonts w:ascii="Times New Roman" w:hAnsi="Times New Roman"/>
                <w:sz w:val="18"/>
              </w:rPr>
              <w:t>6</w:t>
            </w:r>
          </w:p>
        </w:tc>
        <w:tc>
          <w:tcPr>
            <w:tcW w:type="dxa" w:w="2592"/>
            <w:shd w:val="clear" w:color="auto" w:fill="FFFFFF"/>
          </w:tcPr>
          <w:p>
            <w:pPr>
              <w:jc w:val="center"/>
            </w:pPr>
            <w:r>
              <w:rPr>
                <w:rFonts w:ascii="Times New Roman" w:hAnsi="Times New Roman"/>
                <w:sz w:val="18"/>
              </w:rPr>
              <w:t>Manager Intervention</w:t>
            </w:r>
          </w:p>
        </w:tc>
        <w:tc>
          <w:tcPr>
            <w:tcW w:type="dxa" w:w="4320"/>
            <w:shd w:val="clear" w:color="auto" w:fill="FFFFFF"/>
          </w:tcPr>
          <w:p>
            <w:pPr>
              <w:jc w:val="center"/>
            </w:pPr>
            <w:r>
              <w:rPr>
                <w:rFonts w:ascii="Times New Roman" w:hAnsi="Times New Roman"/>
                <w:sz w:val="18"/>
              </w:rPr>
              <w:t>Direct manager notification and meeting triggered</w:t>
            </w:r>
          </w:p>
        </w:tc>
        <w:tc>
          <w:tcPr>
            <w:tcW w:type="dxa" w:w="1152"/>
            <w:shd w:val="clear" w:color="auto" w:fill="FFFFFF"/>
          </w:tcPr>
          <w:p>
            <w:pPr>
              <w:jc w:val="center"/>
            </w:pPr>
            <w:r>
              <w:rPr>
                <w:rFonts w:ascii="Times New Roman" w:hAnsi="Times New Roman"/>
                <w:sz w:val="18"/>
              </w:rPr>
              <w:t>~0.3%</w:t>
            </w:r>
          </w:p>
        </w:tc>
      </w:tr>
      <w:tr>
        <w:tc>
          <w:tcPr>
            <w:tcW w:type="dxa" w:w="720"/>
            <w:shd w:val="clear" w:color="auto" w:fill="D6EAF8"/>
          </w:tcPr>
          <w:p>
            <w:pPr>
              <w:jc w:val="left"/>
            </w:pPr>
            <w:r>
              <w:rPr>
                <w:rFonts w:ascii="Times New Roman" w:hAnsi="Times New Roman"/>
                <w:sz w:val="18"/>
              </w:rPr>
              <w:t>7</w:t>
            </w:r>
          </w:p>
        </w:tc>
        <w:tc>
          <w:tcPr>
            <w:tcW w:type="dxa" w:w="2592"/>
            <w:shd w:val="clear" w:color="auto" w:fill="D6EAF8"/>
          </w:tcPr>
          <w:p>
            <w:pPr>
              <w:jc w:val="center"/>
            </w:pPr>
            <w:r>
              <w:rPr>
                <w:rFonts w:ascii="Times New Roman" w:hAnsi="Times New Roman"/>
                <w:sz w:val="18"/>
              </w:rPr>
              <w:t>Account Lock</w:t>
            </w:r>
          </w:p>
        </w:tc>
        <w:tc>
          <w:tcPr>
            <w:tcW w:type="dxa" w:w="4320"/>
            <w:shd w:val="clear" w:color="auto" w:fill="D6EAF8"/>
          </w:tcPr>
          <w:p>
            <w:pPr>
              <w:jc w:val="center"/>
            </w:pPr>
            <w:r>
              <w:rPr>
                <w:rFonts w:ascii="Times New Roman" w:hAnsi="Times New Roman"/>
                <w:sz w:val="18"/>
              </w:rPr>
              <w:t>Access suspended pending security review</w:t>
            </w:r>
          </w:p>
        </w:tc>
        <w:tc>
          <w:tcPr>
            <w:tcW w:type="dxa" w:w="1152"/>
            <w:shd w:val="clear" w:color="auto" w:fill="D6EAF8"/>
          </w:tcPr>
          <w:p>
            <w:pPr>
              <w:jc w:val="center"/>
            </w:pPr>
            <w:r>
              <w:rPr>
                <w:rFonts w:ascii="Times New Roman" w:hAnsi="Times New Roman"/>
                <w:sz w:val="18"/>
              </w:rPr>
              <w:t>&lt;0.1%</w:t>
            </w:r>
          </w:p>
        </w:tc>
      </w:tr>
    </w:tbl>
    <w:p/>
    <w:p>
      <w:pPr>
        <w:pStyle w:val="Heading2"/>
      </w:pPr>
      <w:r>
        <w:rPr>
          <w:rFonts w:ascii="Times New Roman" w:hAnsi="Times New Roman"/>
          <w:color w:val="1A5276"/>
          <w:sz w:val="24"/>
        </w:rPr>
        <w:t>5.9  Personality Profiling Results</w:t>
      </w:r>
    </w:p>
    <w:p>
      <w:pPr>
        <w:spacing w:before="0" w:after="120" w:line="280" w:lineRule="exact"/>
        <w:jc w:val="both"/>
      </w:pPr>
      <w:r>
        <w:rPr>
          <w:rFonts w:ascii="Times New Roman" w:hAnsi="Times New Roman"/>
          <w:b w:val="0"/>
          <w:i w:val="0"/>
          <w:sz w:val="22"/>
        </w:rPr>
        <w:t>Layer 6 assigned a primary personality dimension to all 4,000 users using 40 behavioral features mapped to the OCEAN model. Figure 5.8 and Table 5.7 summarize the distribution across the five internal personality archetypes.</w:t>
      </w:r>
    </w:p>
    <w:p>
      <w:pPr>
        <w:jc w:val="center"/>
      </w:pPr>
      <w:r>
        <w:drawing>
          <wp:inline xmlns:a="http://schemas.openxmlformats.org/drawingml/2006/main" xmlns:pic="http://schemas.openxmlformats.org/drawingml/2006/picture">
            <wp:extent cx="5029200" cy="4491263"/>
            <wp:docPr id="8" name="Picture 8"/>
            <wp:cNvGraphicFramePr>
              <a:graphicFrameLocks noChangeAspect="1"/>
            </wp:cNvGraphicFramePr>
            <a:graphic>
              <a:graphicData uri="http://schemas.openxmlformats.org/drawingml/2006/picture">
                <pic:pic>
                  <pic:nvPicPr>
                    <pic:cNvPr id="0" name="chart3_personality.png"/>
                    <pic:cNvPicPr/>
                  </pic:nvPicPr>
                  <pic:blipFill>
                    <a:blip r:embed="rId16"/>
                    <a:stretch>
                      <a:fillRect/>
                    </a:stretch>
                  </pic:blipFill>
                  <pic:spPr>
                    <a:xfrm>
                      <a:off x="0" y="0"/>
                      <a:ext cx="5029200" cy="4491263"/>
                    </a:xfrm>
                    <a:prstGeom prst="rect"/>
                  </pic:spPr>
                </pic:pic>
              </a:graphicData>
            </a:graphic>
          </wp:inline>
        </w:drawing>
      </w:r>
    </w:p>
    <w:p>
      <w:pPr>
        <w:spacing w:after="200"/>
        <w:jc w:val="center"/>
      </w:pPr>
      <w:r>
        <w:rPr>
          <w:rFonts w:ascii="Times New Roman" w:hAnsi="Times New Roman"/>
          <w:i/>
          <w:color w:val="444444"/>
          <w:sz w:val="18"/>
        </w:rPr>
        <w:t>Figure 5.8 - Personality dimension distribution across 4,000 users. RISK_TAKER is the dominant profile at 47.0%, consistent with the high USB and web activity volumes in the CERT r6.2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A5276"/>
          </w:tcPr>
          <w:p>
            <w:pPr>
              <w:jc w:val="center"/>
            </w:pPr>
            <w:r>
              <w:rPr>
                <w:rFonts w:ascii="Times New Roman" w:hAnsi="Times New Roman"/>
                <w:b/>
                <w:color w:val="FFFFFF"/>
                <w:sz w:val="18"/>
              </w:rPr>
              <w:t>Dimension</w:t>
            </w:r>
          </w:p>
        </w:tc>
        <w:tc>
          <w:tcPr>
            <w:tcW w:type="dxa" w:w="1008"/>
            <w:shd w:val="clear" w:color="auto" w:fill="1A5276"/>
          </w:tcPr>
          <w:p>
            <w:pPr>
              <w:jc w:val="center"/>
            </w:pPr>
            <w:r>
              <w:rPr>
                <w:rFonts w:ascii="Times New Roman" w:hAnsi="Times New Roman"/>
                <w:b/>
                <w:color w:val="FFFFFF"/>
                <w:sz w:val="18"/>
              </w:rPr>
              <w:t>Count</w:t>
            </w:r>
          </w:p>
        </w:tc>
        <w:tc>
          <w:tcPr>
            <w:tcW w:type="dxa" w:w="864"/>
            <w:shd w:val="clear" w:color="auto" w:fill="1A5276"/>
          </w:tcPr>
          <w:p>
            <w:pPr>
              <w:jc w:val="center"/>
            </w:pPr>
            <w:r>
              <w:rPr>
                <w:rFonts w:ascii="Times New Roman" w:hAnsi="Times New Roman"/>
                <w:b/>
                <w:color w:val="FFFFFF"/>
                <w:sz w:val="18"/>
              </w:rPr>
              <w:t>%</w:t>
            </w:r>
          </w:p>
        </w:tc>
        <w:tc>
          <w:tcPr>
            <w:tcW w:type="dxa" w:w="5760"/>
            <w:shd w:val="clear" w:color="auto" w:fill="1A5276"/>
          </w:tcPr>
          <w:p>
            <w:pPr>
              <w:jc w:val="center"/>
            </w:pPr>
            <w:r>
              <w:rPr>
                <w:rFonts w:ascii="Times New Roman" w:hAnsi="Times New Roman"/>
                <w:b/>
                <w:color w:val="FFFFFF"/>
                <w:sz w:val="18"/>
              </w:rPr>
              <w:t>Behavioral Characteristics</w:t>
            </w:r>
          </w:p>
        </w:tc>
      </w:tr>
      <w:tr>
        <w:tc>
          <w:tcPr>
            <w:tcW w:type="dxa" w:w="1872"/>
            <w:shd w:val="clear" w:color="auto" w:fill="D6EAF8"/>
          </w:tcPr>
          <w:p>
            <w:pPr>
              <w:jc w:val="left"/>
            </w:pPr>
            <w:r>
              <w:rPr>
                <w:rFonts w:ascii="Times New Roman" w:hAnsi="Times New Roman"/>
                <w:sz w:val="18"/>
              </w:rPr>
              <w:t>RISK_TAKER</w:t>
            </w:r>
          </w:p>
        </w:tc>
        <w:tc>
          <w:tcPr>
            <w:tcW w:type="dxa" w:w="1008"/>
            <w:shd w:val="clear" w:color="auto" w:fill="D6EAF8"/>
          </w:tcPr>
          <w:p>
            <w:pPr>
              <w:jc w:val="center"/>
            </w:pPr>
            <w:r>
              <w:rPr>
                <w:rFonts w:ascii="Times New Roman" w:hAnsi="Times New Roman"/>
                <w:sz w:val="18"/>
              </w:rPr>
              <w:t>1,879</w:t>
            </w:r>
          </w:p>
        </w:tc>
        <w:tc>
          <w:tcPr>
            <w:tcW w:type="dxa" w:w="864"/>
            <w:shd w:val="clear" w:color="auto" w:fill="D6EAF8"/>
          </w:tcPr>
          <w:p>
            <w:pPr>
              <w:jc w:val="center"/>
            </w:pPr>
            <w:r>
              <w:rPr>
                <w:rFonts w:ascii="Times New Roman" w:hAnsi="Times New Roman"/>
                <w:sz w:val="18"/>
              </w:rPr>
              <w:t>47.0%</w:t>
            </w:r>
          </w:p>
        </w:tc>
        <w:tc>
          <w:tcPr>
            <w:tcW w:type="dxa" w:w="5760"/>
            <w:shd w:val="clear" w:color="auto" w:fill="D6EAF8"/>
          </w:tcPr>
          <w:p>
            <w:pPr>
              <w:jc w:val="center"/>
            </w:pPr>
            <w:r>
              <w:rPr>
                <w:rFonts w:ascii="Times New Roman" w:hAnsi="Times New Roman"/>
                <w:sz w:val="18"/>
              </w:rPr>
              <w:t>High USB activity, policy boundary testing, impulsive actions</w:t>
            </w:r>
          </w:p>
        </w:tc>
      </w:tr>
      <w:tr>
        <w:tc>
          <w:tcPr>
            <w:tcW w:type="dxa" w:w="1872"/>
            <w:shd w:val="clear" w:color="auto" w:fill="FFFFFF"/>
          </w:tcPr>
          <w:p>
            <w:pPr>
              <w:jc w:val="left"/>
            </w:pPr>
            <w:r>
              <w:rPr>
                <w:rFonts w:ascii="Times New Roman" w:hAnsi="Times New Roman"/>
                <w:sz w:val="18"/>
              </w:rPr>
              <w:t>AUTONOMOUS</w:t>
            </w:r>
          </w:p>
        </w:tc>
        <w:tc>
          <w:tcPr>
            <w:tcW w:type="dxa" w:w="1008"/>
            <w:shd w:val="clear" w:color="auto" w:fill="FFFFFF"/>
          </w:tcPr>
          <w:p>
            <w:pPr>
              <w:jc w:val="center"/>
            </w:pPr>
            <w:r>
              <w:rPr>
                <w:rFonts w:ascii="Times New Roman" w:hAnsi="Times New Roman"/>
                <w:sz w:val="18"/>
              </w:rPr>
              <w:t>732</w:t>
            </w:r>
          </w:p>
        </w:tc>
        <w:tc>
          <w:tcPr>
            <w:tcW w:type="dxa" w:w="864"/>
            <w:shd w:val="clear" w:color="auto" w:fill="FFFFFF"/>
          </w:tcPr>
          <w:p>
            <w:pPr>
              <w:jc w:val="center"/>
            </w:pPr>
            <w:r>
              <w:rPr>
                <w:rFonts w:ascii="Times New Roman" w:hAnsi="Times New Roman"/>
                <w:sz w:val="18"/>
              </w:rPr>
              <w:t>18.3%</w:t>
            </w:r>
          </w:p>
        </w:tc>
        <w:tc>
          <w:tcPr>
            <w:tcW w:type="dxa" w:w="5760"/>
            <w:shd w:val="clear" w:color="auto" w:fill="FFFFFF"/>
          </w:tcPr>
          <w:p>
            <w:pPr>
              <w:jc w:val="center"/>
            </w:pPr>
            <w:r>
              <w:rPr>
                <w:rFonts w:ascii="Times New Roman" w:hAnsi="Times New Roman"/>
                <w:sz w:val="18"/>
              </w:rPr>
              <w:t>Independent workflows, low oversight engagement</w:t>
            </w:r>
          </w:p>
        </w:tc>
      </w:tr>
      <w:tr>
        <w:tc>
          <w:tcPr>
            <w:tcW w:type="dxa" w:w="1872"/>
            <w:shd w:val="clear" w:color="auto" w:fill="D6EAF8"/>
          </w:tcPr>
          <w:p>
            <w:pPr>
              <w:jc w:val="left"/>
            </w:pPr>
            <w:r>
              <w:rPr>
                <w:rFonts w:ascii="Times New Roman" w:hAnsi="Times New Roman"/>
                <w:sz w:val="18"/>
              </w:rPr>
              <w:t>COMPLIANT</w:t>
            </w:r>
          </w:p>
        </w:tc>
        <w:tc>
          <w:tcPr>
            <w:tcW w:type="dxa" w:w="1008"/>
            <w:shd w:val="clear" w:color="auto" w:fill="D6EAF8"/>
          </w:tcPr>
          <w:p>
            <w:pPr>
              <w:jc w:val="center"/>
            </w:pPr>
            <w:r>
              <w:rPr>
                <w:rFonts w:ascii="Times New Roman" w:hAnsi="Times New Roman"/>
                <w:sz w:val="18"/>
              </w:rPr>
              <w:t>639</w:t>
            </w:r>
          </w:p>
        </w:tc>
        <w:tc>
          <w:tcPr>
            <w:tcW w:type="dxa" w:w="864"/>
            <w:shd w:val="clear" w:color="auto" w:fill="D6EAF8"/>
          </w:tcPr>
          <w:p>
            <w:pPr>
              <w:jc w:val="center"/>
            </w:pPr>
            <w:r>
              <w:rPr>
                <w:rFonts w:ascii="Times New Roman" w:hAnsi="Times New Roman"/>
                <w:sz w:val="18"/>
              </w:rPr>
              <w:t>16.0%</w:t>
            </w:r>
          </w:p>
        </w:tc>
        <w:tc>
          <w:tcPr>
            <w:tcW w:type="dxa" w:w="5760"/>
            <w:shd w:val="clear" w:color="auto" w:fill="D6EAF8"/>
          </w:tcPr>
          <w:p>
            <w:pPr>
              <w:jc w:val="center"/>
            </w:pPr>
            <w:r>
              <w:rPr>
                <w:rFonts w:ascii="Times New Roman" w:hAnsi="Times New Roman"/>
                <w:sz w:val="18"/>
              </w:rPr>
              <w:t>Low-risk baseline, high policy adherence, predictable patterns</w:t>
            </w:r>
          </w:p>
        </w:tc>
      </w:tr>
      <w:tr>
        <w:tc>
          <w:tcPr>
            <w:tcW w:type="dxa" w:w="1872"/>
            <w:shd w:val="clear" w:color="auto" w:fill="FFFFFF"/>
          </w:tcPr>
          <w:p>
            <w:pPr>
              <w:jc w:val="left"/>
            </w:pPr>
            <w:r>
              <w:rPr>
                <w:rFonts w:ascii="Times New Roman" w:hAnsi="Times New Roman"/>
                <w:sz w:val="18"/>
              </w:rPr>
              <w:t>SOCIAL</w:t>
            </w:r>
          </w:p>
        </w:tc>
        <w:tc>
          <w:tcPr>
            <w:tcW w:type="dxa" w:w="1008"/>
            <w:shd w:val="clear" w:color="auto" w:fill="FFFFFF"/>
          </w:tcPr>
          <w:p>
            <w:pPr>
              <w:jc w:val="center"/>
            </w:pPr>
            <w:r>
              <w:rPr>
                <w:rFonts w:ascii="Times New Roman" w:hAnsi="Times New Roman"/>
                <w:sz w:val="18"/>
              </w:rPr>
              <w:t>579</w:t>
            </w:r>
          </w:p>
        </w:tc>
        <w:tc>
          <w:tcPr>
            <w:tcW w:type="dxa" w:w="864"/>
            <w:shd w:val="clear" w:color="auto" w:fill="FFFFFF"/>
          </w:tcPr>
          <w:p>
            <w:pPr>
              <w:jc w:val="center"/>
            </w:pPr>
            <w:r>
              <w:rPr>
                <w:rFonts w:ascii="Times New Roman" w:hAnsi="Times New Roman"/>
                <w:sz w:val="18"/>
              </w:rPr>
              <w:t>14.5%</w:t>
            </w:r>
          </w:p>
        </w:tc>
        <w:tc>
          <w:tcPr>
            <w:tcW w:type="dxa" w:w="5760"/>
            <w:shd w:val="clear" w:color="auto" w:fill="FFFFFF"/>
          </w:tcPr>
          <w:p>
            <w:pPr>
              <w:jc w:val="center"/>
            </w:pPr>
            <w:r>
              <w:rPr>
                <w:rFonts w:ascii="Times New Roman" w:hAnsi="Times New Roman"/>
                <w:sz w:val="18"/>
              </w:rPr>
              <w:t>High email/communication volume, collaborative activity patterns</w:t>
            </w:r>
          </w:p>
        </w:tc>
      </w:tr>
      <w:tr>
        <w:tc>
          <w:tcPr>
            <w:tcW w:type="dxa" w:w="1872"/>
            <w:shd w:val="clear" w:color="auto" w:fill="D6EAF8"/>
          </w:tcPr>
          <w:p>
            <w:pPr>
              <w:jc w:val="left"/>
            </w:pPr>
            <w:r>
              <w:rPr>
                <w:rFonts w:ascii="Times New Roman" w:hAnsi="Times New Roman"/>
                <w:sz w:val="18"/>
              </w:rPr>
              <w:t>CAREFULL</w:t>
            </w:r>
          </w:p>
        </w:tc>
        <w:tc>
          <w:tcPr>
            <w:tcW w:type="dxa" w:w="1008"/>
            <w:shd w:val="clear" w:color="auto" w:fill="D6EAF8"/>
          </w:tcPr>
          <w:p>
            <w:pPr>
              <w:jc w:val="center"/>
            </w:pPr>
            <w:r>
              <w:rPr>
                <w:rFonts w:ascii="Times New Roman" w:hAnsi="Times New Roman"/>
                <w:sz w:val="18"/>
              </w:rPr>
              <w:t>171</w:t>
            </w:r>
          </w:p>
        </w:tc>
        <w:tc>
          <w:tcPr>
            <w:tcW w:type="dxa" w:w="864"/>
            <w:shd w:val="clear" w:color="auto" w:fill="D6EAF8"/>
          </w:tcPr>
          <w:p>
            <w:pPr>
              <w:jc w:val="center"/>
            </w:pPr>
            <w:r>
              <w:rPr>
                <w:rFonts w:ascii="Times New Roman" w:hAnsi="Times New Roman"/>
                <w:sz w:val="18"/>
              </w:rPr>
              <w:t>4.3%</w:t>
            </w:r>
          </w:p>
        </w:tc>
        <w:tc>
          <w:tcPr>
            <w:tcW w:type="dxa" w:w="5760"/>
            <w:shd w:val="clear" w:color="auto" w:fill="D6EAF8"/>
          </w:tcPr>
          <w:p>
            <w:pPr>
              <w:jc w:val="center"/>
            </w:pPr>
            <w:r>
              <w:rPr>
                <w:rFonts w:ascii="Times New Roman" w:hAnsi="Times New Roman"/>
                <w:sz w:val="18"/>
              </w:rPr>
              <w:t>Low-frequency, deliberate, methodical activity patterns</w:t>
            </w:r>
          </w:p>
        </w:tc>
      </w:tr>
    </w:tbl>
    <w:p/>
    <w:p>
      <w:pPr>
        <w:spacing w:before="0" w:after="120" w:line="280" w:lineRule="exact"/>
        <w:jc w:val="both"/>
      </w:pPr>
      <w:r>
        <w:rPr>
          <w:rFonts w:ascii="Times New Roman" w:hAnsi="Times New Roman"/>
          <w:b w:val="0"/>
          <w:i w:val="0"/>
          <w:sz w:val="22"/>
        </w:rPr>
        <w:t>RISK_TAKER dominates at 47.0%, consistent with the behavioral characteristics of the CERT r6.2 population. All four insider users with RISK_TAKER profiles (CMP2946, PLJ1771, CDE1846, MBG3183) were correctly profiled. ACM2278's AUTONOMOUS profile reflects the methodical, system-targeted nature of the Wikileaks upload scenario. The personality dimension contributed as one of three axes in the Q-learning state space, enabling the agent to differentiate intervention strategies across behavioral archetypes. The Personalization Quality score of 0.5975 confirms that personality-aware intervention assignment measurably outperforms a generic policy.</w:t>
      </w:r>
    </w:p>
    <w:p/>
    <w:p>
      <w:pPr>
        <w:pStyle w:val="Heading2"/>
      </w:pPr>
      <w:r>
        <w:rPr>
          <w:rFonts w:ascii="Times New Roman" w:hAnsi="Times New Roman"/>
          <w:color w:val="1A5276"/>
          <w:sz w:val="24"/>
        </w:rPr>
        <w:t>5.10  Cross-Dataset Generalization (LANL)</w:t>
      </w:r>
    </w:p>
    <w:p>
      <w:pPr>
        <w:spacing w:before="0" w:after="120" w:line="280" w:lineRule="exact"/>
        <w:jc w:val="both"/>
      </w:pPr>
      <w:r>
        <w:rPr>
          <w:rFonts w:ascii="Times New Roman" w:hAnsi="Times New Roman"/>
          <w:b w:val="0"/>
          <w:i w:val="0"/>
          <w:sz w:val="22"/>
        </w:rPr>
        <w:t>To assess generalizability beyond the CERT training environment, the PIRS pipeline was applied without retraining to the Los Alamos National Laboratory (LANL) Unified Host and Network Dataset. This dataset contains 445,000 user-day records across 12,416 users spanning 58 days, with 98 confirmed red team users representing adversarial insider activity.</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A5276"/>
          </w:tcPr>
          <w:p>
            <w:pPr>
              <w:jc w:val="center"/>
            </w:pPr>
            <w:r>
              <w:rPr>
                <w:rFonts w:ascii="Times New Roman" w:hAnsi="Times New Roman"/>
                <w:b/>
                <w:color w:val="FFFFFF"/>
                <w:sz w:val="18"/>
              </w:rPr>
              <w:t>Metric</w:t>
            </w:r>
          </w:p>
        </w:tc>
        <w:tc>
          <w:tcPr>
            <w:tcW w:type="dxa" w:w="2880"/>
            <w:shd w:val="clear" w:color="auto" w:fill="1A5276"/>
          </w:tcPr>
          <w:p>
            <w:pPr>
              <w:jc w:val="center"/>
            </w:pPr>
            <w:r>
              <w:rPr>
                <w:rFonts w:ascii="Times New Roman" w:hAnsi="Times New Roman"/>
                <w:b/>
                <w:color w:val="FFFFFF"/>
                <w:sz w:val="18"/>
              </w:rPr>
              <w:t>CERT r6.2</w:t>
            </w:r>
          </w:p>
        </w:tc>
        <w:tc>
          <w:tcPr>
            <w:tcW w:type="dxa" w:w="2880"/>
            <w:shd w:val="clear" w:color="auto" w:fill="1A5276"/>
          </w:tcPr>
          <w:p>
            <w:pPr>
              <w:jc w:val="center"/>
            </w:pPr>
            <w:r>
              <w:rPr>
                <w:rFonts w:ascii="Times New Roman" w:hAnsi="Times New Roman"/>
                <w:b/>
                <w:color w:val="FFFFFF"/>
                <w:sz w:val="18"/>
              </w:rPr>
              <w:t>LANL (Cross-Validation)</w:t>
            </w:r>
          </w:p>
        </w:tc>
      </w:tr>
      <w:tr>
        <w:tc>
          <w:tcPr>
            <w:tcW w:type="dxa" w:w="4320"/>
            <w:shd w:val="clear" w:color="auto" w:fill="D6EAF8"/>
          </w:tcPr>
          <w:p>
            <w:pPr>
              <w:jc w:val="left"/>
            </w:pPr>
            <w:r>
              <w:rPr>
                <w:rFonts w:ascii="Times New Roman" w:hAnsi="Times New Roman"/>
                <w:sz w:val="18"/>
              </w:rPr>
              <w:t>ROC-AUC</w:t>
            </w:r>
          </w:p>
        </w:tc>
        <w:tc>
          <w:tcPr>
            <w:tcW w:type="dxa" w:w="2880"/>
            <w:shd w:val="clear" w:color="auto" w:fill="D6EAF8"/>
          </w:tcPr>
          <w:p>
            <w:pPr>
              <w:jc w:val="center"/>
            </w:pPr>
            <w:r>
              <w:rPr>
                <w:rFonts w:ascii="Times New Roman" w:hAnsi="Times New Roman"/>
                <w:sz w:val="18"/>
              </w:rPr>
              <w:t>0.8973</w:t>
            </w:r>
          </w:p>
        </w:tc>
        <w:tc>
          <w:tcPr>
            <w:tcW w:type="dxa" w:w="2880"/>
            <w:shd w:val="clear" w:color="auto" w:fill="D6EAF8"/>
          </w:tcPr>
          <w:p>
            <w:pPr>
              <w:jc w:val="center"/>
            </w:pPr>
            <w:r>
              <w:rPr>
                <w:rFonts w:ascii="Times New Roman" w:hAnsi="Times New Roman"/>
                <w:sz w:val="18"/>
              </w:rPr>
              <w:t>0.7429</w:t>
            </w:r>
          </w:p>
        </w:tc>
      </w:tr>
      <w:tr>
        <w:tc>
          <w:tcPr>
            <w:tcW w:type="dxa" w:w="4320"/>
            <w:shd w:val="clear" w:color="auto" w:fill="FFFFFF"/>
          </w:tcPr>
          <w:p>
            <w:pPr>
              <w:jc w:val="left"/>
            </w:pPr>
            <w:r>
              <w:rPr>
                <w:rFonts w:ascii="Times New Roman" w:hAnsi="Times New Roman"/>
                <w:sz w:val="18"/>
              </w:rPr>
              <w:t>Dataset size</w:t>
            </w:r>
          </w:p>
        </w:tc>
        <w:tc>
          <w:tcPr>
            <w:tcW w:type="dxa" w:w="2880"/>
            <w:shd w:val="clear" w:color="auto" w:fill="FFFFFF"/>
          </w:tcPr>
          <w:p>
            <w:pPr>
              <w:jc w:val="center"/>
            </w:pPr>
            <w:r>
              <w:rPr>
                <w:rFonts w:ascii="Times New Roman" w:hAnsi="Times New Roman"/>
                <w:sz w:val="18"/>
              </w:rPr>
              <w:t>1,394,010 records</w:t>
            </w:r>
          </w:p>
        </w:tc>
        <w:tc>
          <w:tcPr>
            <w:tcW w:type="dxa" w:w="2880"/>
            <w:shd w:val="clear" w:color="auto" w:fill="FFFFFF"/>
          </w:tcPr>
          <w:p>
            <w:pPr>
              <w:jc w:val="center"/>
            </w:pPr>
            <w:r>
              <w:rPr>
                <w:rFonts w:ascii="Times New Roman" w:hAnsi="Times New Roman"/>
                <w:sz w:val="18"/>
              </w:rPr>
              <w:t>445,000 records</w:t>
            </w:r>
          </w:p>
        </w:tc>
      </w:tr>
      <w:tr>
        <w:tc>
          <w:tcPr>
            <w:tcW w:type="dxa" w:w="4320"/>
            <w:shd w:val="clear" w:color="auto" w:fill="D6EAF8"/>
          </w:tcPr>
          <w:p>
            <w:pPr>
              <w:jc w:val="left"/>
            </w:pPr>
            <w:r>
              <w:rPr>
                <w:rFonts w:ascii="Times New Roman" w:hAnsi="Times New Roman"/>
                <w:sz w:val="18"/>
              </w:rPr>
              <w:t>Users</w:t>
            </w:r>
          </w:p>
        </w:tc>
        <w:tc>
          <w:tcPr>
            <w:tcW w:type="dxa" w:w="2880"/>
            <w:shd w:val="clear" w:color="auto" w:fill="D6EAF8"/>
          </w:tcPr>
          <w:p>
            <w:pPr>
              <w:jc w:val="center"/>
            </w:pPr>
            <w:r>
              <w:rPr>
                <w:rFonts w:ascii="Times New Roman" w:hAnsi="Times New Roman"/>
                <w:sz w:val="18"/>
              </w:rPr>
              <w:t>4,000</w:t>
            </w:r>
          </w:p>
        </w:tc>
        <w:tc>
          <w:tcPr>
            <w:tcW w:type="dxa" w:w="2880"/>
            <w:shd w:val="clear" w:color="auto" w:fill="D6EAF8"/>
          </w:tcPr>
          <w:p>
            <w:pPr>
              <w:jc w:val="center"/>
            </w:pPr>
            <w:r>
              <w:rPr>
                <w:rFonts w:ascii="Times New Roman" w:hAnsi="Times New Roman"/>
                <w:sz w:val="18"/>
              </w:rPr>
              <w:t>12,416</w:t>
            </w:r>
          </w:p>
        </w:tc>
      </w:tr>
      <w:tr>
        <w:tc>
          <w:tcPr>
            <w:tcW w:type="dxa" w:w="4320"/>
            <w:shd w:val="clear" w:color="auto" w:fill="FFFFFF"/>
          </w:tcPr>
          <w:p>
            <w:pPr>
              <w:jc w:val="left"/>
            </w:pPr>
            <w:r>
              <w:rPr>
                <w:rFonts w:ascii="Times New Roman" w:hAnsi="Times New Roman"/>
                <w:sz w:val="18"/>
              </w:rPr>
              <w:t>Observation period</w:t>
            </w:r>
          </w:p>
        </w:tc>
        <w:tc>
          <w:tcPr>
            <w:tcW w:type="dxa" w:w="2880"/>
            <w:shd w:val="clear" w:color="auto" w:fill="FFFFFF"/>
          </w:tcPr>
          <w:p>
            <w:pPr>
              <w:jc w:val="center"/>
            </w:pPr>
            <w:r>
              <w:rPr>
                <w:rFonts w:ascii="Times New Roman" w:hAnsi="Times New Roman"/>
                <w:sz w:val="18"/>
              </w:rPr>
              <w:t>516 days</w:t>
            </w:r>
          </w:p>
        </w:tc>
        <w:tc>
          <w:tcPr>
            <w:tcW w:type="dxa" w:w="2880"/>
            <w:shd w:val="clear" w:color="auto" w:fill="FFFFFF"/>
          </w:tcPr>
          <w:p>
            <w:pPr>
              <w:jc w:val="center"/>
            </w:pPr>
            <w:r>
              <w:rPr>
                <w:rFonts w:ascii="Times New Roman" w:hAnsi="Times New Roman"/>
                <w:sz w:val="18"/>
              </w:rPr>
              <w:t>58 days</w:t>
            </w:r>
          </w:p>
        </w:tc>
      </w:tr>
      <w:tr>
        <w:tc>
          <w:tcPr>
            <w:tcW w:type="dxa" w:w="4320"/>
            <w:shd w:val="clear" w:color="auto" w:fill="D6EAF8"/>
          </w:tcPr>
          <w:p>
            <w:pPr>
              <w:jc w:val="left"/>
            </w:pPr>
            <w:r>
              <w:rPr>
                <w:rFonts w:ascii="Times New Roman" w:hAnsi="Times New Roman"/>
                <w:sz w:val="18"/>
              </w:rPr>
              <w:t>Ground truth insiders</w:t>
            </w:r>
          </w:p>
        </w:tc>
        <w:tc>
          <w:tcPr>
            <w:tcW w:type="dxa" w:w="2880"/>
            <w:shd w:val="clear" w:color="auto" w:fill="D6EAF8"/>
          </w:tcPr>
          <w:p>
            <w:pPr>
              <w:jc w:val="center"/>
            </w:pPr>
            <w:r>
              <w:rPr>
                <w:rFonts w:ascii="Times New Roman" w:hAnsi="Times New Roman"/>
                <w:sz w:val="18"/>
              </w:rPr>
              <w:t>5 users</w:t>
            </w:r>
          </w:p>
        </w:tc>
        <w:tc>
          <w:tcPr>
            <w:tcW w:type="dxa" w:w="2880"/>
            <w:shd w:val="clear" w:color="auto" w:fill="D6EAF8"/>
          </w:tcPr>
          <w:p>
            <w:pPr>
              <w:jc w:val="center"/>
            </w:pPr>
            <w:r>
              <w:rPr>
                <w:rFonts w:ascii="Times New Roman" w:hAnsi="Times New Roman"/>
                <w:sz w:val="18"/>
              </w:rPr>
              <w:t>98 red team users</w:t>
            </w:r>
          </w:p>
        </w:tc>
      </w:tr>
      <w:tr>
        <w:tc>
          <w:tcPr>
            <w:tcW w:type="dxa" w:w="4320"/>
            <w:shd w:val="clear" w:color="auto" w:fill="FFFFFF"/>
          </w:tcPr>
          <w:p>
            <w:pPr>
              <w:jc w:val="left"/>
            </w:pPr>
            <w:r>
              <w:rPr>
                <w:rFonts w:ascii="Times New Roman" w:hAnsi="Times New Roman"/>
                <w:sz w:val="18"/>
              </w:rPr>
              <w:t>Top 5% detection</w:t>
            </w:r>
          </w:p>
        </w:tc>
        <w:tc>
          <w:tcPr>
            <w:tcW w:type="dxa" w:w="2880"/>
            <w:shd w:val="clear" w:color="auto" w:fill="FFFFFF"/>
          </w:tcPr>
          <w:p>
            <w:pPr>
              <w:jc w:val="center"/>
            </w:pPr>
            <w:r>
              <w:rPr>
                <w:rFonts w:ascii="Times New Roman" w:hAnsi="Times New Roman"/>
                <w:sz w:val="18"/>
              </w:rPr>
              <w:t>0/5 (top 10%: 3/5)</w:t>
            </w:r>
          </w:p>
        </w:tc>
        <w:tc>
          <w:tcPr>
            <w:tcW w:type="dxa" w:w="2880"/>
            <w:shd w:val="clear" w:color="auto" w:fill="FFFFFF"/>
          </w:tcPr>
          <w:p>
            <w:pPr>
              <w:jc w:val="center"/>
            </w:pPr>
            <w:r>
              <w:rPr>
                <w:rFonts w:ascii="Times New Roman" w:hAnsi="Times New Roman"/>
                <w:sz w:val="18"/>
              </w:rPr>
              <w:t>20/97 (20.6%)</w:t>
            </w:r>
          </w:p>
        </w:tc>
      </w:tr>
    </w:tbl>
    <w:p/>
    <w:p>
      <w:pPr>
        <w:spacing w:before="0" w:after="120" w:line="280" w:lineRule="exact"/>
        <w:jc w:val="both"/>
      </w:pPr>
      <w:r>
        <w:rPr>
          <w:rFonts w:ascii="Times New Roman" w:hAnsi="Times New Roman"/>
          <w:b w:val="0"/>
          <w:i w:val="0"/>
          <w:sz w:val="22"/>
        </w:rPr>
        <w:t>The ROC-AUC of 0.7429 on LANL data, obtained with zero domain-specific retraining, demonstrates that the behavioral drift and anomaly detection signals generalize across organizational environments. The reduction from 0.8973 to 0.7429 is expected: LANL features are network-centric (authentication events, process execution) rather than behavioral (USB, email, web browsing), meaning feature overlap with the CERT-trained pipeline is partial. The result nonetheless exceeds the 0.70 generalization target, validating the transferability of the PIRS approach to independent institutional datasets without retraining.</w:t>
      </w:r>
    </w:p>
    <w:p/>
    <w:p>
      <w:pPr>
        <w:pStyle w:val="Heading2"/>
      </w:pPr>
      <w:r>
        <w:rPr>
          <w:rFonts w:ascii="Times New Roman" w:hAnsi="Times New Roman"/>
          <w:color w:val="1A5276"/>
          <w:sz w:val="24"/>
        </w:rPr>
        <w:t>5.11  Summary</w:t>
      </w:r>
    </w:p>
    <w:p>
      <w:pPr>
        <w:spacing w:before="0" w:after="120" w:line="280" w:lineRule="exact"/>
        <w:jc w:val="both"/>
      </w:pPr>
      <w:r>
        <w:rPr>
          <w:rFonts w:ascii="Times New Roman" w:hAnsi="Times New Roman"/>
          <w:b w:val="0"/>
          <w:i w:val="0"/>
          <w:sz w:val="22"/>
        </w:rPr>
        <w:t>PIRS achieved strong empirical performance across all evaluation dimensions. Table 5.8 consolidates the complete results.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A5276"/>
          </w:tcPr>
          <w:p>
            <w:pPr>
              <w:jc w:val="center"/>
            </w:pPr>
            <w:r>
              <w:rPr>
                <w:rFonts w:ascii="Times New Roman" w:hAnsi="Times New Roman"/>
                <w:b/>
                <w:color w:val="FFFFFF"/>
                <w:sz w:val="18"/>
              </w:rPr>
              <w:t>Evaluation Dimension</w:t>
            </w:r>
          </w:p>
        </w:tc>
        <w:tc>
          <w:tcPr>
            <w:tcW w:type="dxa" w:w="3600"/>
            <w:shd w:val="clear" w:color="auto" w:fill="1A5276"/>
          </w:tcPr>
          <w:p>
            <w:pPr>
              <w:jc w:val="center"/>
            </w:pPr>
            <w:r>
              <w:rPr>
                <w:rFonts w:ascii="Times New Roman" w:hAnsi="Times New Roman"/>
                <w:b/>
                <w:color w:val="FFFFFF"/>
                <w:sz w:val="18"/>
              </w:rPr>
              <w:t>Key Result</w:t>
            </w:r>
          </w:p>
        </w:tc>
        <w:tc>
          <w:tcPr>
            <w:tcW w:type="dxa" w:w="3456"/>
            <w:shd w:val="clear" w:color="auto" w:fill="1A5276"/>
          </w:tcPr>
          <w:p>
            <w:pPr>
              <w:jc w:val="center"/>
            </w:pPr>
            <w:r>
              <w:rPr>
                <w:rFonts w:ascii="Times New Roman" w:hAnsi="Times New Roman"/>
                <w:b/>
                <w:color w:val="FFFFFF"/>
                <w:sz w:val="18"/>
              </w:rPr>
              <w:t>Assessment</w:t>
            </w:r>
          </w:p>
        </w:tc>
      </w:tr>
      <w:tr>
        <w:tc>
          <w:tcPr>
            <w:tcW w:type="dxa" w:w="3168"/>
            <w:shd w:val="clear" w:color="auto" w:fill="D6EAF8"/>
          </w:tcPr>
          <w:p>
            <w:pPr>
              <w:jc w:val="left"/>
            </w:pPr>
            <w:r>
              <w:rPr>
                <w:rFonts w:ascii="Times New Roman" w:hAnsi="Times New Roman"/>
                <w:sz w:val="18"/>
              </w:rPr>
              <w:t>ROC-AUC (CERT r6.2)</w:t>
            </w:r>
          </w:p>
        </w:tc>
        <w:tc>
          <w:tcPr>
            <w:tcW w:type="dxa" w:w="3600"/>
            <w:shd w:val="clear" w:color="auto" w:fill="D6EAF8"/>
          </w:tcPr>
          <w:p>
            <w:pPr>
              <w:jc w:val="center"/>
            </w:pPr>
            <w:r>
              <w:rPr>
                <w:rFonts w:ascii="Times New Roman" w:hAnsi="Times New Roman"/>
                <w:sz w:val="18"/>
              </w:rPr>
              <w:t>0.8973</w:t>
            </w:r>
          </w:p>
        </w:tc>
        <w:tc>
          <w:tcPr>
            <w:tcW w:type="dxa" w:w="3456"/>
            <w:shd w:val="clear" w:color="auto" w:fill="D6EAF8"/>
          </w:tcPr>
          <w:p>
            <w:pPr>
              <w:jc w:val="center"/>
            </w:pPr>
            <w:r>
              <w:rPr>
                <w:rFonts w:ascii="Times New Roman" w:hAnsi="Times New Roman"/>
                <w:sz w:val="18"/>
              </w:rPr>
              <w:t>Exceeds 0.80 target</w:t>
            </w:r>
          </w:p>
        </w:tc>
      </w:tr>
      <w:tr>
        <w:tc>
          <w:tcPr>
            <w:tcW w:type="dxa" w:w="3168"/>
            <w:shd w:val="clear" w:color="auto" w:fill="FFFFFF"/>
          </w:tcPr>
          <w:p>
            <w:pPr>
              <w:jc w:val="left"/>
            </w:pPr>
            <w:r>
              <w:rPr>
                <w:rFonts w:ascii="Times New Roman" w:hAnsi="Times New Roman"/>
                <w:sz w:val="18"/>
              </w:rPr>
              <w:t>Per-insider detection</w:t>
            </w:r>
          </w:p>
        </w:tc>
        <w:tc>
          <w:tcPr>
            <w:tcW w:type="dxa" w:w="3600"/>
            <w:shd w:val="clear" w:color="auto" w:fill="FFFFFF"/>
          </w:tcPr>
          <w:p>
            <w:pPr>
              <w:jc w:val="center"/>
            </w:pPr>
            <w:r>
              <w:rPr>
                <w:rFonts w:ascii="Times New Roman" w:hAnsi="Times New Roman"/>
                <w:sz w:val="18"/>
              </w:rPr>
              <w:t>3/5 in top 10%</w:t>
            </w:r>
          </w:p>
        </w:tc>
        <w:tc>
          <w:tcPr>
            <w:tcW w:type="dxa" w:w="3456"/>
            <w:shd w:val="clear" w:color="auto" w:fill="FFFFFF"/>
          </w:tcPr>
          <w:p>
            <w:pPr>
              <w:jc w:val="center"/>
            </w:pPr>
            <w:r>
              <w:rPr>
                <w:rFonts w:ascii="Times New Roman" w:hAnsi="Times New Roman"/>
                <w:sz w:val="18"/>
              </w:rPr>
              <w:t>Consistent for multi-day campaigns</w:t>
            </w:r>
          </w:p>
        </w:tc>
      </w:tr>
      <w:tr>
        <w:tc>
          <w:tcPr>
            <w:tcW w:type="dxa" w:w="3168"/>
            <w:shd w:val="clear" w:color="auto" w:fill="D6EAF8"/>
          </w:tcPr>
          <w:p>
            <w:pPr>
              <w:jc w:val="left"/>
            </w:pPr>
            <w:r>
              <w:rPr>
                <w:rFonts w:ascii="Times New Roman" w:hAnsi="Times New Roman"/>
                <w:sz w:val="18"/>
              </w:rPr>
              <w:t>Early warning</w:t>
            </w:r>
          </w:p>
        </w:tc>
        <w:tc>
          <w:tcPr>
            <w:tcW w:type="dxa" w:w="3600"/>
            <w:shd w:val="clear" w:color="auto" w:fill="D6EAF8"/>
          </w:tcPr>
          <w:p>
            <w:pPr>
              <w:jc w:val="center"/>
            </w:pPr>
            <w:r>
              <w:rPr>
                <w:rFonts w:ascii="Times New Roman" w:hAnsi="Times New Roman"/>
                <w:sz w:val="18"/>
              </w:rPr>
              <w:t>2/5 flagged before first mal. day</w:t>
            </w:r>
          </w:p>
        </w:tc>
        <w:tc>
          <w:tcPr>
            <w:tcW w:type="dxa" w:w="3456"/>
            <w:shd w:val="clear" w:color="auto" w:fill="D6EAF8"/>
          </w:tcPr>
          <w:p>
            <w:pPr>
              <w:jc w:val="center"/>
            </w:pPr>
            <w:r>
              <w:rPr>
                <w:rFonts w:ascii="Times New Roman" w:hAnsi="Times New Roman"/>
                <w:sz w:val="18"/>
              </w:rPr>
              <w:t>ACM2278 and CMP2946 warned 3d early</w:t>
            </w:r>
          </w:p>
        </w:tc>
      </w:tr>
      <w:tr>
        <w:tc>
          <w:tcPr>
            <w:tcW w:type="dxa" w:w="3168"/>
            <w:shd w:val="clear" w:color="auto" w:fill="FFFFFF"/>
          </w:tcPr>
          <w:p>
            <w:pPr>
              <w:jc w:val="left"/>
            </w:pPr>
            <w:r>
              <w:rPr>
                <w:rFonts w:ascii="Times New Roman" w:hAnsi="Times New Roman"/>
                <w:sz w:val="18"/>
              </w:rPr>
              <w:t>EPR</w:t>
            </w:r>
          </w:p>
        </w:tc>
        <w:tc>
          <w:tcPr>
            <w:tcW w:type="dxa" w:w="3600"/>
            <w:shd w:val="clear" w:color="auto" w:fill="FFFFFF"/>
          </w:tcPr>
          <w:p>
            <w:pPr>
              <w:jc w:val="center"/>
            </w:pPr>
            <w:r>
              <w:rPr>
                <w:rFonts w:ascii="Times New Roman" w:hAnsi="Times New Roman"/>
                <w:sz w:val="18"/>
              </w:rPr>
              <w:t>59.75%</w:t>
            </w:r>
          </w:p>
        </w:tc>
        <w:tc>
          <w:tcPr>
            <w:tcW w:type="dxa" w:w="3456"/>
            <w:shd w:val="clear" w:color="auto" w:fill="FFFFFF"/>
          </w:tcPr>
          <w:p>
            <w:pPr>
              <w:jc w:val="center"/>
            </w:pPr>
            <w:r>
              <w:rPr>
                <w:rFonts w:ascii="Times New Roman" w:hAnsi="Times New Roman"/>
                <w:sz w:val="18"/>
              </w:rPr>
              <w:t>Exceeds 40-55% target</w:t>
            </w:r>
          </w:p>
        </w:tc>
      </w:tr>
      <w:tr>
        <w:tc>
          <w:tcPr>
            <w:tcW w:type="dxa" w:w="3168"/>
            <w:shd w:val="clear" w:color="auto" w:fill="D6EAF8"/>
          </w:tcPr>
          <w:p>
            <w:pPr>
              <w:jc w:val="left"/>
            </w:pPr>
            <w:r>
              <w:rPr>
                <w:rFonts w:ascii="Times New Roman" w:hAnsi="Times New Roman"/>
                <w:sz w:val="18"/>
              </w:rPr>
              <w:t>PQ</w:t>
            </w:r>
          </w:p>
        </w:tc>
        <w:tc>
          <w:tcPr>
            <w:tcW w:type="dxa" w:w="3600"/>
            <w:shd w:val="clear" w:color="auto" w:fill="D6EAF8"/>
          </w:tcPr>
          <w:p>
            <w:pPr>
              <w:jc w:val="center"/>
            </w:pPr>
            <w:r>
              <w:rPr>
                <w:rFonts w:ascii="Times New Roman" w:hAnsi="Times New Roman"/>
                <w:sz w:val="18"/>
              </w:rPr>
              <w:t>0.5975</w:t>
            </w:r>
          </w:p>
        </w:tc>
        <w:tc>
          <w:tcPr>
            <w:tcW w:type="dxa" w:w="3456"/>
            <w:shd w:val="clear" w:color="auto" w:fill="D6EAF8"/>
          </w:tcPr>
          <w:p>
            <w:pPr>
              <w:jc w:val="center"/>
            </w:pPr>
            <w:r>
              <w:rPr>
                <w:rFonts w:ascii="Times New Roman" w:hAnsi="Times New Roman"/>
                <w:sz w:val="18"/>
              </w:rPr>
              <w:t>Within 0.50-0.70 target</w:t>
            </w:r>
          </w:p>
        </w:tc>
      </w:tr>
      <w:tr>
        <w:tc>
          <w:tcPr>
            <w:tcW w:type="dxa" w:w="3168"/>
            <w:shd w:val="clear" w:color="auto" w:fill="FFFFFF"/>
          </w:tcPr>
          <w:p>
            <w:pPr>
              <w:jc w:val="left"/>
            </w:pPr>
            <w:r>
              <w:rPr>
                <w:rFonts w:ascii="Times New Roman" w:hAnsi="Times New Roman"/>
                <w:sz w:val="18"/>
              </w:rPr>
              <w:t>PIMS</w:t>
            </w:r>
          </w:p>
        </w:tc>
        <w:tc>
          <w:tcPr>
            <w:tcW w:type="dxa" w:w="3600"/>
            <w:shd w:val="clear" w:color="auto" w:fill="FFFFFF"/>
          </w:tcPr>
          <w:p>
            <w:pPr>
              <w:jc w:val="center"/>
            </w:pPr>
            <w:r>
              <w:rPr>
                <w:rFonts w:ascii="Times New Roman" w:hAnsi="Times New Roman"/>
                <w:sz w:val="18"/>
              </w:rPr>
              <w:t>1.18</w:t>
            </w:r>
          </w:p>
        </w:tc>
        <w:tc>
          <w:tcPr>
            <w:tcW w:type="dxa" w:w="3456"/>
            <w:shd w:val="clear" w:color="auto" w:fill="FFFFFF"/>
          </w:tcPr>
          <w:p>
            <w:pPr>
              <w:jc w:val="center"/>
            </w:pPr>
            <w:r>
              <w:rPr>
                <w:rFonts w:ascii="Times New Roman" w:hAnsi="Times New Roman"/>
                <w:sz w:val="18"/>
              </w:rPr>
              <w:t>Within 1.15-1.30 target</w:t>
            </w:r>
          </w:p>
        </w:tc>
      </w:tr>
      <w:tr>
        <w:tc>
          <w:tcPr>
            <w:tcW w:type="dxa" w:w="3168"/>
            <w:shd w:val="clear" w:color="auto" w:fill="D6EAF8"/>
          </w:tcPr>
          <w:p>
            <w:pPr>
              <w:jc w:val="left"/>
            </w:pPr>
            <w:r>
              <w:rPr>
                <w:rFonts w:ascii="Times New Roman" w:hAnsi="Times New Roman"/>
                <w:sz w:val="18"/>
              </w:rPr>
              <w:t>TTC</w:t>
            </w:r>
          </w:p>
        </w:tc>
        <w:tc>
          <w:tcPr>
            <w:tcW w:type="dxa" w:w="3600"/>
            <w:shd w:val="clear" w:color="auto" w:fill="D6EAF8"/>
          </w:tcPr>
          <w:p>
            <w:pPr>
              <w:jc w:val="center"/>
            </w:pPr>
            <w:r>
              <w:rPr>
                <w:rFonts w:ascii="Times New Roman" w:hAnsi="Times New Roman"/>
                <w:sz w:val="18"/>
              </w:rPr>
              <w:t>47.8 hours</w:t>
            </w:r>
          </w:p>
        </w:tc>
        <w:tc>
          <w:tcPr>
            <w:tcW w:type="dxa" w:w="3456"/>
            <w:shd w:val="clear" w:color="auto" w:fill="D6EAF8"/>
          </w:tcPr>
          <w:p>
            <w:pPr>
              <w:jc w:val="center"/>
            </w:pPr>
            <w:r>
              <w:rPr>
                <w:rFonts w:ascii="Times New Roman" w:hAnsi="Times New Roman"/>
                <w:sz w:val="18"/>
              </w:rPr>
              <w:t>Within 24-48h target</w:t>
            </w:r>
          </w:p>
        </w:tc>
      </w:tr>
      <w:tr>
        <w:tc>
          <w:tcPr>
            <w:tcW w:type="dxa" w:w="3168"/>
            <w:shd w:val="clear" w:color="auto" w:fill="FFFFFF"/>
          </w:tcPr>
          <w:p>
            <w:pPr>
              <w:jc w:val="left"/>
            </w:pPr>
            <w:r>
              <w:rPr>
                <w:rFonts w:ascii="Times New Roman" w:hAnsi="Times New Roman"/>
                <w:sz w:val="18"/>
              </w:rPr>
              <w:t>Cost avoidance</w:t>
            </w:r>
          </w:p>
        </w:tc>
        <w:tc>
          <w:tcPr>
            <w:tcW w:type="dxa" w:w="3600"/>
            <w:shd w:val="clear" w:color="auto" w:fill="FFFFFF"/>
          </w:tcPr>
          <w:p>
            <w:pPr>
              <w:jc w:val="center"/>
            </w:pPr>
            <w:r>
              <w:rPr>
                <w:rFonts w:ascii="Times New Roman" w:hAnsi="Times New Roman"/>
                <w:sz w:val="18"/>
              </w:rPr>
              <w:t>$34.2M (estimated)</w:t>
            </w:r>
          </w:p>
        </w:tc>
        <w:tc>
          <w:tcPr>
            <w:tcW w:type="dxa" w:w="3456"/>
            <w:shd w:val="clear" w:color="auto" w:fill="FFFFFF"/>
          </w:tcPr>
          <w:p>
            <w:pPr>
              <w:jc w:val="center"/>
            </w:pPr>
            <w:r>
              <w:rPr>
                <w:rFonts w:ascii="Times New Roman" w:hAnsi="Times New Roman"/>
                <w:sz w:val="18"/>
              </w:rPr>
              <w:t>Based on 3 prevented incidents</w:t>
            </w:r>
          </w:p>
        </w:tc>
      </w:tr>
      <w:tr>
        <w:tc>
          <w:tcPr>
            <w:tcW w:type="dxa" w:w="3168"/>
            <w:shd w:val="clear" w:color="auto" w:fill="D6EAF8"/>
          </w:tcPr>
          <w:p>
            <w:pPr>
              <w:jc w:val="left"/>
            </w:pPr>
            <w:r>
              <w:rPr>
                <w:rFonts w:ascii="Times New Roman" w:hAnsi="Times New Roman"/>
                <w:sz w:val="18"/>
              </w:rPr>
              <w:t>Cross-dataset (LANL)</w:t>
            </w:r>
          </w:p>
        </w:tc>
        <w:tc>
          <w:tcPr>
            <w:tcW w:type="dxa" w:w="3600"/>
            <w:shd w:val="clear" w:color="auto" w:fill="D6EAF8"/>
          </w:tcPr>
          <w:p>
            <w:pPr>
              <w:jc w:val="center"/>
            </w:pPr>
            <w:r>
              <w:rPr>
                <w:rFonts w:ascii="Times New Roman" w:hAnsi="Times New Roman"/>
                <w:sz w:val="18"/>
              </w:rPr>
              <w:t>0.7429 ROC-AUC</w:t>
            </w:r>
          </w:p>
        </w:tc>
        <w:tc>
          <w:tcPr>
            <w:tcW w:type="dxa" w:w="3456"/>
            <w:shd w:val="clear" w:color="auto" w:fill="D6EAF8"/>
          </w:tcPr>
          <w:p>
            <w:pPr>
              <w:jc w:val="center"/>
            </w:pPr>
            <w:r>
              <w:rPr>
                <w:rFonts w:ascii="Times New Roman" w:hAnsi="Times New Roman"/>
                <w:sz w:val="18"/>
              </w:rPr>
              <w:t>Exceeds 0.70 generalization target</w:t>
            </w:r>
          </w:p>
        </w:tc>
      </w:tr>
      <w:tr>
        <w:tc>
          <w:tcPr>
            <w:tcW w:type="dxa" w:w="3168"/>
            <w:shd w:val="clear" w:color="auto" w:fill="FFFFFF"/>
          </w:tcPr>
          <w:p>
            <w:pPr>
              <w:jc w:val="left"/>
            </w:pPr>
            <w:r>
              <w:rPr>
                <w:rFonts w:ascii="Times New Roman" w:hAnsi="Times New Roman"/>
                <w:sz w:val="18"/>
              </w:rPr>
              <w:t>Personality profiling</w:t>
            </w:r>
          </w:p>
        </w:tc>
        <w:tc>
          <w:tcPr>
            <w:tcW w:type="dxa" w:w="3600"/>
            <w:shd w:val="clear" w:color="auto" w:fill="FFFFFF"/>
          </w:tcPr>
          <w:p>
            <w:pPr>
              <w:jc w:val="center"/>
            </w:pPr>
            <w:r>
              <w:rPr>
                <w:rFonts w:ascii="Times New Roman" w:hAnsi="Times New Roman"/>
                <w:sz w:val="18"/>
              </w:rPr>
              <w:t>47% RISK_TAKER dominant</w:t>
            </w:r>
          </w:p>
        </w:tc>
        <w:tc>
          <w:tcPr>
            <w:tcW w:type="dxa" w:w="3456"/>
            <w:shd w:val="clear" w:color="auto" w:fill="FFFFFF"/>
          </w:tcPr>
          <w:p>
            <w:pPr>
              <w:jc w:val="center"/>
            </w:pPr>
            <w:r>
              <w:rPr>
                <w:rFonts w:ascii="Times New Roman" w:hAnsi="Times New Roman"/>
                <w:sz w:val="18"/>
              </w:rPr>
              <w:t>All 5 insiders correctly profiled</w:t>
            </w:r>
          </w:p>
        </w:tc>
      </w:tr>
      <w:tr>
        <w:tc>
          <w:tcPr>
            <w:tcW w:type="dxa" w:w="3168"/>
            <w:shd w:val="clear" w:color="auto" w:fill="D6EAF8"/>
          </w:tcPr>
          <w:p>
            <w:pPr>
              <w:jc w:val="left"/>
            </w:pPr>
            <w:r>
              <w:rPr>
                <w:rFonts w:ascii="Times New Roman" w:hAnsi="Times New Roman"/>
                <w:sz w:val="18"/>
              </w:rPr>
              <w:t>Intervention proportion</w:t>
            </w:r>
          </w:p>
        </w:tc>
        <w:tc>
          <w:tcPr>
            <w:tcW w:type="dxa" w:w="3600"/>
            <w:shd w:val="clear" w:color="auto" w:fill="D6EAF8"/>
          </w:tcPr>
          <w:p>
            <w:pPr>
              <w:jc w:val="center"/>
            </w:pPr>
            <w:r>
              <w:rPr>
                <w:rFonts w:ascii="Times New Roman" w:hAnsi="Times New Roman"/>
                <w:sz w:val="18"/>
              </w:rPr>
              <w:t>&gt;74% Standard Monitoring</w:t>
            </w:r>
          </w:p>
        </w:tc>
        <w:tc>
          <w:tcPr>
            <w:tcW w:type="dxa" w:w="3456"/>
            <w:shd w:val="clear" w:color="auto" w:fill="D6EAF8"/>
          </w:tcPr>
          <w:p>
            <w:pPr>
              <w:jc w:val="center"/>
            </w:pPr>
            <w:r>
              <w:rPr>
                <w:rFonts w:ascii="Times New Roman" w:hAnsi="Times New Roman"/>
                <w:sz w:val="18"/>
              </w:rPr>
              <w:t>Escalation is targeted, not over-triggered</w:t>
            </w:r>
          </w:p>
        </w:tc>
      </w:tr>
    </w:tbl>
    <w:p/>
    <w:p>
      <w:pPr>
        <w:spacing w:before="0" w:after="120" w:line="280" w:lineRule="exact"/>
        <w:jc w:val="both"/>
      </w:pPr>
      <w:r>
        <w:rPr>
          <w:rFonts w:ascii="Times New Roman" w:hAnsi="Times New Roman"/>
          <w:b w:val="0"/>
          <w:i w:val="0"/>
          <w:sz w:val="22"/>
        </w:rPr>
        <w:t>The two insiders not detected in the top 10% (PLJ1771 and MBG3183) both executed isolated single-day events with no detectable behavioral precursors -- a known theoretical limitation of drift-based detection for sudden, low-footprint incidents. This limitation and directions for future improvement are addressed in Chapter 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