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2E"/>
          <w:sz w:val="44"/>
          <w:szCs w:val="44"/>
        </w:rPr>
        <w:t xml:space="preserve">Research Proposal</w:t>
      </w:r>
    </w:p>
    <w:p>
      <w:pPr>
        <w:spacing w:after="120"/>
        <w:jc w:val="center"/>
      </w:pPr>
      <w:r>
        <w:rPr>
          <w:rFonts w:ascii="Arial" w:cs="Arial" w:eastAsia="Arial" w:hAnsi="Arial"/>
          <w:color w:val="2D3A4A"/>
          <w:sz w:val="36"/>
          <w:szCs w:val="36"/>
        </w:rPr>
        <w:t xml:space="preserve">Population-Based GRPO:</w:t>
      </w:r>
    </w:p>
    <w:p>
      <w:pPr>
        <w:spacing w:after="400"/>
        <w:jc w:val="center"/>
      </w:pPr>
      <w:r>
        <w:rPr>
          <w:rFonts w:ascii="Arial" w:cs="Arial" w:eastAsia="Arial" w:hAnsi="Arial"/>
          <w:color w:val="2D3A4A"/>
          <w:sz w:val="28"/>
          <w:szCs w:val="28"/>
        </w:rPr>
        <w:t xml:space="preserve">Cross-Group Advantage Estimation via Independent Policy Populations</w:t>
      </w:r>
    </w:p>
    <w:p>
      <w:pPr>
        <w:spacing w:after="80"/>
        <w:jc w:val="center"/>
      </w:pPr>
      <w:r>
        <w:rPr>
          <w:rFonts w:ascii="Arial" w:cs="Arial" w:eastAsia="Arial" w:hAnsi="Arial"/>
          <w:color w:val="444444"/>
          <w:sz w:val="24"/>
          <w:szCs w:val="24"/>
        </w:rPr>
        <w:t xml:space="preserve">Rohan Sikand</w:t>
      </w:r>
    </w:p>
    <w:p>
      <w:pPr>
        <w:spacing w:after="80"/>
        <w:jc w:val="center"/>
      </w:pPr>
      <w:r>
        <w:rPr>
          <w:rFonts w:ascii="Arial" w:cs="Arial" w:eastAsia="Arial" w:hAnsi="Arial"/>
          <w:color w:val="666666"/>
          <w:sz w:val="22"/>
          <w:szCs w:val="22"/>
        </w:rPr>
        <w:t xml:space="preserve">Stanford University</w:t>
      </w:r>
    </w:p>
    <w:p>
      <w:pPr>
        <w:spacing w:after="400"/>
        <w:jc w:val="center"/>
      </w:pPr>
      <w:r>
        <w:rPr>
          <w:rFonts w:ascii="Arial" w:cs="Arial" w:eastAsia="Arial" w:hAnsi="Arial"/>
          <w:color w:val="666666"/>
          <w:sz w:val="22"/>
          <w:szCs w:val="22"/>
        </w:rPr>
        <w:t xml:space="preserve">March 2026</w:t>
      </w:r>
    </w:p>
    <w:p>
      <w:pPr>
        <w:pBdr>
          <w:top w:val="single" w:color="3D5A80" w:sz="6" w:space="1"/>
        </w:pBdr>
        <w:spacing w:after="200"/>
        <w:jc w:val="center"/>
      </w:pPr>
    </w:p>
    <w:p>
      <w:pPr>
        <w:spacing w:after="80"/>
        <w:jc w:val="center"/>
      </w:pPr>
      <w:r>
        <w:rPr>
          <w:rFonts w:ascii="Arial" w:cs="Arial" w:eastAsia="Arial" w:hAnsi="Arial"/>
          <w:i/>
          <w:iCs/>
          <w:color w:val="888888"/>
          <w:sz w:val="20"/>
          <w:szCs w:val="20"/>
        </w:rPr>
        <w:t xml:space="preserve">Status: Active Proposal</w:t>
      </w:r>
    </w:p>
    <w:p>
      <w:pPr>
        <w:sectPr>
          <w:pgSz w:w="12240" w:h="15840" w:orient="portrait"/>
          <w:pgMar w:top="1440" w:right="1440" w:bottom="1440" w:left="1440" w:header="708" w:footer="708" w:gutter="0"/>
          <w:pgNumType/>
          <w:docGrid w:linePitch="360"/>
        </w:sectPr>
      </w:pPr>
    </w:p>
    <w:p>
      <w:pPr>
        <w:pStyle w:val="Heading1"/>
      </w:pPr>
      <w:r>
        <w:t xml:space="preserve">1. Abstract</w:t>
      </w:r>
    </w:p>
    <w:p>
      <w:pPr>
        <w:spacing w:after="160"/>
      </w:pPr>
      <w:r>
        <w:t xml:space="preserve">Standard GRPO trains a single policy that produces a group of rollouts, computes group-relative advantages, and updates via policy gradient. This proposal asks a simple structural question: what happens if we maintain a population of N independently-updating policies, each producing G rollouts, and compute advantages across the full N×G pool? We show that this formulation is distributionally identical to standard GRPO at initialization but diverges after the first gradient step if policies update independently. The divergence creates a spectrum of methods ranging from pure variance reduction (shared gradients) to a genuinely novel population-based training regime (independent gradients) that enables independent mode discovery, better baselines, and a principled mechanism for breaking the reweighting ceiling identified by Yue et al. (2025). We propose cross-group advantage estimation as the core algorithmic primitive and outline experiments to validate the approach under iso-compute conditions.</w:t>
      </w:r>
    </w:p>
    <w:p>
      <w:pPr>
        <w:pStyle w:val="Heading1"/>
      </w:pPr>
      <w:r>
        <w:t xml:space="preserve">2. Motivation and Problem Statement</w:t>
      </w:r>
    </w:p>
    <w:p>
      <w:pPr>
        <w:pStyle w:val="Heading2"/>
      </w:pPr>
      <w:r>
        <w:t xml:space="preserve">2.1 The Single-Seed Bottleneck</w:t>
      </w:r>
    </w:p>
    <w:p>
      <w:pPr>
        <w:spacing w:after="160"/>
      </w:pPr>
      <w:r>
        <w:t xml:space="preserve">RLVR training is inherently stochastic. Which rollouts happen to be correct in the first few batches determines the initial gradient direction, which in turn determines which solution modes the policy converges toward. Different random seeds find different modes, but we only ever train one policy. That policy converges to whichever mode the random seed finds first, and all subsequent training sharpens on that mode while pruning alternatives.</w:t>
      </w:r>
    </w:p>
    <w:p>
      <w:pPr>
        <w:spacing w:after="160"/>
      </w:pPr>
      <w:r>
        <w:t xml:space="preserve">Recent diversity-preserving methods (DAPO, STEER, AEPO, DIVER, DSDR) attempt to slow mode collapse within a single run. They are effective at delaying convergence but cannot prevent it: a single policy with a single optimization trajectory will eventually sharpen onto a subset of the available solution strategies.</w:t>
      </w:r>
    </w:p>
    <w:p>
      <w:pPr>
        <w:pStyle w:val="Heading2"/>
      </w:pPr>
      <w:r>
        <w:t xml:space="preserve">2.2 The Reweighting Ceiling</w:t>
      </w:r>
    </w:p>
    <w:p>
      <w:pPr>
        <w:spacing w:after="160"/>
      </w:pPr>
      <w:r>
        <w:t xml:space="preserve">Yue et al. (2025) formalized this limitation: RLVR does not discover new reasoning patterns but merely reweights within the base model’s existing distribution. The ceiling of any single-seed RLVR run is bounded by the support of the initial policy. All diversity methods operate within this bound.</w:t>
      </w:r>
    </w:p>
    <w:p>
      <w:pPr>
        <w:spacing w:after="160"/>
      </w:pPr>
      <w:r>
        <w:t xml:space="preserve">The key insight from Yue et al. is that distillation can introduce new knowledge by expanding the policy’s support. If policy A’s solutions include strategies absent from policy B’s support, SFT on policy A’s solutions literally raises policy B’s reweighting ceiling. This motivates a multi-policy approach.</w:t>
      </w:r>
    </w:p>
    <w:p>
      <w:pPr>
        <w:pStyle w:val="Heading2"/>
      </w:pPr>
      <w:r>
        <w:t xml:space="preserve">2.3 The Core Question</w:t>
      </w:r>
    </w:p>
    <w:p>
      <w:pPr>
        <w:spacing w:after="160"/>
      </w:pPr>
      <w:r>
        <w:t xml:space="preserve">If we maintain N policies trained independently via GRPO, each producing G rollouts per prompt, we obtain N×G total rollouts. </w:t>
      </w:r>
      <w:r>
        <w:rPr>
          <w:b/>
          <w:bCs/>
        </w:rPr>
        <w:t xml:space="preserve">Does this collapse to standard GRPO with a larger group size, or is it something genuinely different?</w:t>
      </w:r>
      <w:r>
        <w:t xml:space="preserve"> The answer, as we show below, depends entirely on the update rule—and the most interesting regime is the one where the policies diverge.</w:t>
      </w:r>
    </w:p>
    <w:p>
      <w:pPr>
        <w:pStyle w:val="Heading1"/>
      </w:pPr>
      <w:r>
        <w:t xml:space="preserve">3. Formal Analysis: Equivalence and Divergence</w:t>
      </w:r>
    </w:p>
    <w:p>
      <w:pPr>
        <w:pStyle w:val="Heading2"/>
      </w:pPr>
      <w:r>
        <w:t xml:space="preserve">3.1 At Initialization: Distributional Equivalence</w:t>
      </w:r>
    </w:p>
    <w:p>
      <w:pPr>
        <w:spacing w:after="160"/>
      </w:pPr>
      <w:r>
        <w:t xml:space="preserve">Consider N copies of a base policy π₀, each producing G rollouts for a given prompt. At step 0, all N policies are identical. The N×G rollouts are i.i.d. samples from π₀. Computing advantages over this pool is distributionally identical to computing advantages over a single policy’s N×G rollouts. The cross-comparison advantages have the same expectation as standard within-group advantages.</w:t>
      </w:r>
    </w:p>
    <w:p>
      <w:pPr>
        <w:spacing w:after="160"/>
      </w:pPr>
      <w:r>
        <w:rPr>
          <w:i/>
          <w:iCs/>
          <w:color w:val="555555"/>
        </w:rPr>
        <w:t xml:space="preserve">Claim: At t=0, Population-GRPO with N policies and G rollouts each is equivalent to standard GRPO with group size G′ = N×G.</w:t>
      </w:r>
    </w:p>
    <w:p>
      <w:pPr>
        <w:pStyle w:val="Heading2"/>
      </w:pPr>
      <w:r>
        <w:t xml:space="preserve">3.2 After Step 1: The Fork</w:t>
      </w:r>
    </w:p>
    <w:p>
      <w:pPr>
        <w:spacing w:after="160"/>
      </w:pPr>
      <w:r>
        <w:t xml:space="preserve">After the first gradient step, the outcome depends on the update rule:</w:t>
      </w:r>
    </w:p>
    <w:p>
      <w:pPr>
        <w:spacing w:after="160"/>
      </w:pPr>
      <w:r>
        <w:rPr>
          <w:b/>
          <w:bCs/>
        </w:rPr>
        <w:t xml:space="preserve">Case 1: Shared gradients. </w:t>
      </w:r>
      <w:r>
        <w:t xml:space="preserve">If we aggregate all N×G rollouts, compute a single advantage vector, and apply the same gradient to all N policies, the policies never diverge. This is literally standard GRPO with a larger group size. The only benefit is variance reduction from the larger sample. Nothing qualitatively new emerges.</w:t>
      </w:r>
    </w:p>
    <w:p>
      <w:pPr>
        <w:spacing w:after="160"/>
      </w:pPr>
      <w:r>
        <w:rPr>
          <w:b/>
          <w:bCs/>
        </w:rPr>
        <w:t xml:space="preserve">Case 2: Independent gradients. </w:t>
      </w:r>
      <w:r>
        <w:t xml:space="preserve">If each policy takes its own gradient step based on its own G rollouts (or a cross-group advantage computed from the full pool but applied independently), the policies diverge. Each policy sees different rollouts, takes a different gradient step, and explores a different region of output space. After just a few steps, the N policies represent N distinct points in policy space, potentially corresponding to N different solution modes.</w:t>
      </w:r>
    </w:p>
    <w:p>
      <w:pPr>
        <w:spacing w:after="160"/>
      </w:pPr>
      <w:r>
        <w:rPr>
          <w:b/>
          <w:bCs/>
        </w:rPr>
        <w:t xml:space="preserve">Case 3: Soft synchronization. </w:t>
      </w:r>
      <w:r>
        <w:t xml:space="preserve">The most interesting regime is intermediate: policies update independently but are softly coupled via periodic synchronization (as in PBT) or KL penalties between policies. This allows diversity without unbounded drift.</w:t>
      </w:r>
    </w:p>
    <w:p>
      <w:pPr>
        <w:pStyle w:val="Heading2"/>
      </w:pPr>
      <w:r>
        <w:t xml:space="preserve">3.3 Why Divergence Matters</w:t>
      </w:r>
    </w:p>
    <w:p>
      <w:pPr>
        <w:spacing w:after="160"/>
      </w:pPr>
      <w:r>
        <w:t xml:space="preserve">When policies diverge, cross-group advantage estimation becomes genuinely different from within-group estimation. Three concrete benefits arise:</w:t>
      </w:r>
    </w:p>
    <w:p>
      <w:pPr>
        <w:pStyle w:val="ListParagraph"/>
        <w:numPr>
          <w:ilvl w:val="0"/>
          <w:numId w:val="2"/>
        </w:numPr>
        <w:spacing w:after="80"/>
      </w:pPr>
      <w:r>
        <w:rPr>
          <w:b/>
          <w:bCs/>
        </w:rPr>
        <w:t xml:space="preserve">Exploration diversity. </w:t>
      </w:r>
      <w:r>
        <w:t xml:space="preserve">Independent policies explore different regions of output space. This directly addresses the mode collapse problem: where a single policy prunes alternative strategies after early training, N independent policies each preserve different strategies.</w:t>
      </w:r>
    </w:p>
    <w:p>
      <w:pPr>
        <w:pStyle w:val="ListParagraph"/>
        <w:numPr>
          <w:ilvl w:val="0"/>
          <w:numId w:val="2"/>
        </w:numPr>
        <w:spacing w:after="80"/>
      </w:pPr>
      <w:r>
        <w:rPr>
          <w:b/>
          <w:bCs/>
        </w:rPr>
        <w:t xml:space="preserve">Better baselines. </w:t>
      </w:r>
      <w:r>
        <w:t xml:space="preserve">Comparing a policy’s rollouts against other policies’ rollouts provides a baseline that reflects what “a good policy at this training stage” can do, rather than just what “this particular policy happened to sample.” This could reduce variance in the advantage estimate.</w:t>
      </w:r>
    </w:p>
    <w:p>
      <w:pPr>
        <w:pStyle w:val="ListParagraph"/>
        <w:numPr>
          <w:ilvl w:val="0"/>
          <w:numId w:val="2"/>
        </w:numPr>
        <w:spacing w:after="80"/>
      </w:pPr>
      <w:r>
        <w:rPr>
          <w:b/>
          <w:bCs/>
        </w:rPr>
        <w:t xml:space="preserve">Support expansion. </w:t>
      </w:r>
      <w:r>
        <w:t xml:space="preserve">Cross-pollination between policies (via distillation or teacher-based advantages) expands each policy’s support beyond what single-seed training discovers, directly raising the reweighting ceiling.</w:t>
      </w:r>
    </w:p>
    <w:p>
      <w:pPr>
        <w:pStyle w:val="Heading1"/>
      </w:pPr>
      <w:r>
        <w:t xml:space="preserve">4. Proposed Method: Population-Based GRPO</w:t>
      </w:r>
    </w:p>
    <w:p>
      <w:pPr>
        <w:pStyle w:val="Heading2"/>
      </w:pPr>
      <w:r>
        <w:t xml:space="preserve">4.1 Algorithm Overview</w:t>
      </w:r>
    </w:p>
    <w:p>
      <w:pPr>
        <w:spacing w:after="160"/>
      </w:pPr>
      <w:r>
        <w:t xml:space="preserve">The method proceeds in three phases: divergent training, cross-group advantage estimation, and cross-pollination. Each phase uses known techniques; the contribution is the pipeline and the claim that cross-group advantages over independently-trained populations yield a strictly broader policy than any single run.</w:t>
      </w:r>
    </w:p>
    <w:p>
      <w:pPr>
        <w:pStyle w:val="Heading2"/>
      </w:pPr>
      <w:r>
        <w:t xml:space="preserve">4.2 Phase 1: Divergent Training</w:t>
      </w:r>
    </w:p>
    <w:p>
      <w:pPr>
        <w:spacing w:after="160"/>
      </w:pPr>
      <w:r>
        <w:t xml:space="preserve">Train K copies of the base model independently via standard GRPO. Each copy uses a different random seed (and optionally different problem subsets or hyperparameters). The key design choice is the compute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spacing w:after="0"/>
            </w:pPr>
            <w:r>
              <w:rPr>
                <w:b/>
                <w:bCs/>
                <w:sz w:val="20"/>
                <w:szCs w:val="20"/>
              </w:rPr>
              <w:t xml:space="preserve">Design Choice</w:t>
            </w:r>
          </w:p>
        </w:tc>
        <w:tc>
          <w:tcPr>
            <w:tcW w:type="dxa" w:w="4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spacing w:after="0"/>
            </w:pPr>
            <w:r>
              <w:rPr>
                <w:b/>
                <w:bCs/>
                <w:sz w:val="20"/>
                <w:szCs w:val="20"/>
              </w:rPr>
              <w:t xml:space="preserve">Options</w:t>
            </w:r>
          </w:p>
        </w:tc>
        <w:tc>
          <w:tcPr>
            <w:tcW w:type="dxa" w:w="29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spacing w:after="0"/>
            </w:pPr>
            <w:r>
              <w:rPr>
                <w:b/>
                <w:bCs/>
                <w:sz w:val="20"/>
                <w:szCs w:val="20"/>
              </w:rPr>
              <w:t xml:space="preserve">Default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Number of policies K</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4, 8, 16</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4 (budget-limited)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Differentiation source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Random seed only; + different problem subsets; + different hyperparameters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Seed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Per-policy budget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Full budget / K (iso-compute); full budget each (K× compute)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Full budget / K</w:t>
            </w:r>
          </w:p>
        </w:tc>
      </w:tr>
    </w:tbl>
    <w:p>
      <w:pPr>
        <w:spacing w:after="160"/>
      </w:pPr>
    </w:p>
    <w:p>
      <w:pPr>
        <w:spacing w:after="160"/>
      </w:pPr>
      <w:r>
        <w:t xml:space="preserve">The iso-compute setting (same total GPU-hours, split K ways) is the fairest comparison. Each policy trains for fewer steps, but the hypothesis is that early training identifies the mode while later training is diminishing-returns sharpening.</w:t>
      </w:r>
    </w:p>
    <w:p>
      <w:pPr>
        <w:pStyle w:val="Heading2"/>
      </w:pPr>
      <w:r>
        <w:t xml:space="preserve">4.3 Phase 2: Cross-Group Advantage Estimation</w:t>
      </w:r>
    </w:p>
    <w:p>
      <w:pPr>
        <w:spacing w:after="160"/>
      </w:pPr>
      <w:r>
        <w:t xml:space="preserve">This is the core algorithmic contribution. After the policies have diverged, we compute advantages across the full population rather than within a single policy’s rollouts.</w:t>
      </w:r>
    </w:p>
    <w:p>
      <w:pPr>
        <w:spacing w:after="160"/>
      </w:pPr>
      <w:r>
        <w:t xml:space="preserve">For a given prompt s, let each policy k produce G rollouts. The standard GRPO advantage for policy k’s rollout i is computed relative to policy k’s G rollouts. Cross-group advantage instead computes the advantage relative to the full K×G pool:</w:t>
      </w:r>
    </w:p>
    <w:p>
      <w:pPr>
        <w:spacing w:before="120" w:after="120"/>
        <w:jc w:val="center"/>
      </w:pPr>
      <w:r>
        <w:rPr>
          <w:rFonts w:ascii="Cambria Math" w:cs="Cambria Math" w:eastAsia="Cambria Math" w:hAnsi="Cambria Math"/>
          <w:i/>
          <w:iCs/>
          <w:sz w:val="22"/>
          <w:szCs w:val="22"/>
        </w:rPr>
        <w:t xml:space="preserve">Âᶜʳᵒˢˢ(i) = (r(i) − μₐₗₗ) / σₐₗₗ</w:t>
      </w:r>
    </w:p>
    <w:p>
      <w:pPr>
        <w:spacing w:after="160"/>
      </w:pPr>
      <w:r>
        <w:t xml:space="preserve">where μₐₗₗ and σₐₗₗ are the mean and standard deviation of rewards across all K×G rollouts. This means each policy’s rollouts are evaluated against the full population’s output quality, not just its own.</w:t>
      </w:r>
    </w:p>
    <w:p>
      <w:pPr>
        <w:pStyle w:val="Heading2"/>
      </w:pPr>
      <w:r>
        <w:t xml:space="preserve">4.4 Phase 3: Cross-Pollination</w:t>
      </w:r>
    </w:p>
    <w:p>
      <w:pPr>
        <w:spacing w:after="160"/>
      </w:pPr>
      <w:r>
        <w:t xml:space="preserve">After divergent training, the K policies have discovered different solution modes. The goal is to merge these modes into a single, broader policy. We consider four options:</w:t>
      </w:r>
    </w:p>
    <w:p>
      <w:pPr>
        <w:spacing w:after="160"/>
      </w:pPr>
      <w:r>
        <w:rPr>
          <w:b/>
          <w:bCs/>
        </w:rPr>
        <w:t xml:space="preserve">Option A: SFT on union of correct solutions. </w:t>
      </w:r>
      <w:r>
        <w:t xml:space="preserve">Harvest correct rollouts from all K policies, deduplicate by solution strategy (via embedding clustering), and SFT the base model on the union. Continue RLVR from this checkpoint. This directly expands the base model’s support.</w:t>
      </w:r>
    </w:p>
    <w:p>
      <w:pPr>
        <w:spacing w:after="160"/>
      </w:pPr>
      <w:r>
        <w:rPr>
          <w:b/>
          <w:bCs/>
        </w:rPr>
        <w:t xml:space="preserve">Option B: Forward-KL distillation from mixture. </w:t>
      </w:r>
      <w:r>
        <w:t xml:space="preserve">Define a mixture policy πₘᵢₓ = (1/K)Σₖ π*ₖ and distill via forward-KL: min DKL(πₘᵢₓ ‖ πθ). Forward-KL is mass-covering, ensuring the student inherits all K modes rather than collapsing to one. This follows the insight from DPH-RL (2025).</w:t>
      </w:r>
    </w:p>
    <w:p>
      <w:pPr>
        <w:spacing w:after="160"/>
      </w:pPr>
      <w:r>
        <w:rPr>
          <w:b/>
          <w:bCs/>
        </w:rPr>
        <w:t xml:space="preserve">Option C: Iterative cross-pollination. </w:t>
      </w:r>
      <w:r>
        <w:t xml:space="preserve">Alternate between RLVR training and SFT on other policies’ solutions, allowing each policy to gradually absorb the others’ modes.</w:t>
      </w:r>
    </w:p>
    <w:p>
      <w:pPr>
        <w:spacing w:after="160"/>
      </w:pPr>
      <w:r>
        <w:rPr>
          <w:b/>
          <w:bCs/>
        </w:rPr>
        <w:t xml:space="preserve">Option D: Teacher-based advantage from population (preferred). </w:t>
      </w:r>
      <w:r>
        <w:t xml:space="preserve">Inspired by GLM-5’s cross-stage distillation, compute advantages from the teacher-student logit gap rather than group comparison. Each of the K policies serves as a teacher for a fresh student. The advantage is the gap between what the teacher would generate and what the student currently generates. This bypasses the need for dataset curation (Options A/C) or explicit distillation (Option B), enables G=1 training (massive throughput gain), and preserves per-token credit assignment.</w:t>
      </w:r>
    </w:p>
    <w:p>
      <w:pPr>
        <w:pStyle w:val="Heading2"/>
      </w:pPr>
      <w:r>
        <w:t xml:space="preserve">4.5 Multi-Teacher Aggregation</w:t>
      </w:r>
    </w:p>
    <w:p>
      <w:pPr>
        <w:spacing w:after="160"/>
      </w:pPr>
      <w:r>
        <w:t xml:space="preserve">When using Option D with K teachers, the aggregation strategy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spacing w:after="0"/>
            </w:pPr>
            <w:r>
              <w:rPr>
                <w:b/>
                <w:bCs/>
                <w:sz w:val="20"/>
                <w:szCs w:val="20"/>
              </w:rPr>
              <w:t xml:space="preserve">Strategy</w:t>
            </w:r>
          </w:p>
        </w:tc>
        <w:tc>
          <w:tcPr>
            <w:tcW w:type="dxa" w:w="43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spacing w:after="0"/>
            </w:pPr>
            <w:r>
              <w:rPr>
                <w:b/>
                <w:bCs/>
                <w:sz w:val="20"/>
                <w:szCs w:val="20"/>
              </w:rPr>
              <w:t xml:space="preserve">Formula</w:t>
            </w:r>
          </w:p>
        </w:tc>
        <w:tc>
          <w:tcPr>
            <w:tcW w:type="dxa" w:w="3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spacing w:after="0"/>
            </w:pPr>
            <w:r>
              <w:rPr>
                <w:b/>
                <w:bCs/>
                <w:sz w:val="20"/>
                <w:szCs w:val="20"/>
              </w:rPr>
              <w:t xml:space="preserve">Tradeoff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Mean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Â = (1/K) Σₖ Â⁺ᵏ⁾</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Simple; dilutes specialization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Max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Â = maxₖ Â⁺ᵏ⁾</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Preserves specialization; noisy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Competence-weighted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Â = Σₖ wₖ(s) Â⁺ᵏ⁾, wₖ ∝ pass rate of k on 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Best of both; requires per-problem evaluation</w:t>
            </w:r>
          </w:p>
        </w:tc>
      </w:tr>
    </w:tbl>
    <w:p>
      <w:pPr>
        <w:spacing w:after="160"/>
      </w:pPr>
    </w:p>
    <w:p>
      <w:pPr>
        <w:spacing w:after="160"/>
      </w:pPr>
      <w:r>
        <w:t xml:space="preserve">We recommend competence-weighted aggregation: on a given problem s, weight teacher k by its pass rate on s (or on problems similar to s). This ensures the teacher that actually knows the answer dominates the advantage signal for that problem.</w:t>
      </w:r>
    </w:p>
    <w:p>
      <w:pPr>
        <w:pStyle w:val="Heading1"/>
      </w:pPr>
      <w:r>
        <w:t xml:space="preserve">5. The Critical Design Choice: Gradient Sharing</w:t>
      </w:r>
    </w:p>
    <w:p>
      <w:pPr>
        <w:spacing w:after="160"/>
      </w:pPr>
      <w:r>
        <w:t xml:space="preserve">The spectrum of methods is determined by a single design choice: do the policies share gradients?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spacing w:after="0"/>
            </w:pPr>
            <w:r>
              <w:rPr>
                <w:b/>
                <w:bCs/>
                <w:sz w:val="20"/>
                <w:szCs w:val="20"/>
              </w:rPr>
              <w:t xml:space="preserve">Regime</w:t>
            </w:r>
          </w:p>
        </w:tc>
        <w:tc>
          <w:tcPr>
            <w:tcW w:type="dxa" w:w="32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spacing w:after="0"/>
            </w:pPr>
            <w:r>
              <w:rPr>
                <w:b/>
                <w:bCs/>
                <w:sz w:val="20"/>
                <w:szCs w:val="20"/>
              </w:rPr>
              <w:t xml:space="preserve">What Happens</w:t>
            </w:r>
          </w:p>
        </w:tc>
        <w:tc>
          <w:tcPr>
            <w:tcW w:type="dxa" w:w="32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spacing w:after="0"/>
            </w:pPr>
            <w:r>
              <w:rPr>
                <w:b/>
                <w:bCs/>
                <w:sz w:val="20"/>
                <w:szCs w:val="20"/>
              </w:rPr>
              <w:t xml:space="preserve">Result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Shared gradients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All policies apply the same update; never diverge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Standard GRPO with G′=N×G (variance reduction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Independent gradients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Each policy updates on its own rollouts; policies diverge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Population-based method; independent mode discovery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Soft synchronization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Independent updates + periodic sync or KL coupling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Diversity with bounded drift; recommended regime</w:t>
            </w:r>
          </w:p>
        </w:tc>
      </w:tr>
    </w:tbl>
    <w:p>
      <w:pPr>
        <w:spacing w:after="160"/>
      </w:pPr>
    </w:p>
    <w:p>
      <w:pPr>
        <w:spacing w:after="160"/>
      </w:pPr>
      <w:r>
        <w:t xml:space="preserve">The soft synchronization regime is recommended because it balances two competing concerns. Without any coupling, policies can drift so far apart that cross-comparison becomes meaningless: the advantages would be dominated by “which policy is better overall” rather than “which responses are better,” which kills the per-token credit assignment that makes GRPO effective. With too much coupling, the policies collapse to a single mode and the population degenerates to standard GRPO.</w:t>
      </w:r>
    </w:p>
    <w:p>
      <w:pPr>
        <w:spacing w:after="160"/>
      </w:pPr>
      <w:r>
        <w:t xml:space="preserve">The optimal coupling strength is an empirical question. Candidates include periodic weight averaging (as in PBT), pairwise KL penalties between policies, or simply training for a fixed number of independent steps before merging.</w:t>
      </w:r>
    </w:p>
    <w:p>
      <w:pPr>
        <w:pStyle w:val="Heading1"/>
      </w:pPr>
      <w:r>
        <w:t xml:space="preserve">6. Related Work</w:t>
      </w:r>
    </w:p>
    <w:p>
      <w:pPr>
        <w:spacing w:after="160"/>
      </w:pPr>
      <w:r>
        <w:t xml:space="preserve">The idea of maintaining a population of policies and doing cross-evaluation has appeared in several adjacent areas, though not in the GRPO framing:</w:t>
      </w:r>
    </w:p>
    <w:p>
      <w:pPr>
        <w:pStyle w:val="ListParagraph"/>
        <w:numPr>
          <w:ilvl w:val="0"/>
          <w:numId w:val="3"/>
        </w:numPr>
        <w:spacing w:after="80"/>
      </w:pPr>
      <w:r>
        <w:rPr>
          <w:b/>
          <w:bCs/>
        </w:rPr>
        <w:t xml:space="preserve">Population-Based Training (Jaderberg et al., 2017). </w:t>
      </w:r>
      <w:r>
        <w:t xml:space="preserve">Maintains a population and does exploit/explore across members, but the selection mechanism is hyperparameter copying, not reward-based advantage estimation. Operates in classical RL, not LLM post-training.</w:t>
      </w:r>
    </w:p>
    <w:p>
      <w:pPr>
        <w:pStyle w:val="ListParagraph"/>
        <w:numPr>
          <w:ilvl w:val="0"/>
          <w:numId w:val="3"/>
        </w:numPr>
        <w:spacing w:after="80"/>
      </w:pPr>
      <w:r>
        <w:rPr>
          <w:b/>
          <w:bCs/>
        </w:rPr>
        <w:t xml:space="preserve">Evolutionary Strategies (Salimans et al., 2017). </w:t>
      </w:r>
      <w:r>
        <w:t xml:space="preserve">Comparing fitness across a population is the core of evolutionary methods. OpenAI’s ES work is structurally related, but uses fitness-proportional selection rather than advantage-weighted policy gradients.</w:t>
      </w:r>
    </w:p>
    <w:p>
      <w:pPr>
        <w:pStyle w:val="ListParagraph"/>
        <w:numPr>
          <w:ilvl w:val="0"/>
          <w:numId w:val="3"/>
        </w:numPr>
        <w:spacing w:after="80"/>
      </w:pPr>
      <w:r>
        <w:rPr>
          <w:b/>
          <w:bCs/>
        </w:rPr>
        <w:t xml:space="preserve">Nash Learning from Human Feedback (Munos et al., 2023). </w:t>
      </w:r>
      <w:r>
        <w:t xml:space="preserve">Uses multiple policies in a game-theoretic setup where policies are compared against each other, which is structurally similar to cross-group advantage estimation. However, the motivation is equilibrium computation, not mode discovery.</w:t>
      </w:r>
    </w:p>
    <w:p>
      <w:pPr>
        <w:pStyle w:val="ListParagraph"/>
        <w:numPr>
          <w:ilvl w:val="0"/>
          <w:numId w:val="3"/>
        </w:numPr>
        <w:spacing w:after="80"/>
      </w:pPr>
      <w:r>
        <w:rPr>
          <w:b/>
          <w:bCs/>
        </w:rPr>
        <w:t xml:space="preserve">Self-Play Preference Optimization (Wu et al., 2024). </w:t>
      </w:r>
      <w:r>
        <w:t xml:space="preserve">SPPO uses a policy’s own outputs as the comparison baseline in a self-play framework. Related in spirit but single-policy.</w:t>
      </w:r>
    </w:p>
    <w:p>
      <w:pPr>
        <w:pStyle w:val="ListParagraph"/>
        <w:numPr>
          <w:ilvl w:val="0"/>
          <w:numId w:val="3"/>
        </w:numPr>
        <w:spacing w:after="80"/>
      </w:pPr>
      <w:r>
        <w:rPr>
          <w:b/>
          <w:bCs/>
        </w:rPr>
        <w:t xml:space="preserve">GLM-5 (Zeng et al., 2025). </w:t>
      </w:r>
      <w:r>
        <w:t xml:space="preserve">Introduces teacher-based advantage computation via logit gap, validating the core mechanism we propose for cross-pollination. However, GLM-5 uses this temporally (sequential stages, shared trajectory) rather than across a parallel population, yielding less mode diversity.</w:t>
      </w:r>
    </w:p>
    <w:p>
      <w:pPr>
        <w:pStyle w:val="ListParagraph"/>
        <w:numPr>
          <w:ilvl w:val="0"/>
          <w:numId w:val="3"/>
        </w:numPr>
        <w:spacing w:after="80"/>
      </w:pPr>
      <w:r>
        <w:rPr>
          <w:b/>
          <w:bCs/>
        </w:rPr>
        <w:t xml:space="preserve">DPH-RL (2025). </w:t>
      </w:r>
      <w:r>
        <w:t xml:space="preserve">Shows forward-KL divergence preserves diversity in single-policy RLVR. We apply the same principle to multi-policy merging.</w:t>
      </w:r>
    </w:p>
    <w:p>
      <w:pPr>
        <w:pStyle w:val="ListParagraph"/>
        <w:numPr>
          <w:ilvl w:val="0"/>
          <w:numId w:val="3"/>
        </w:numPr>
        <w:spacing w:after="80"/>
      </w:pPr>
      <w:r>
        <w:rPr>
          <w:b/>
          <w:bCs/>
        </w:rPr>
        <w:t xml:space="preserve">WARM (Rame et al., 2024). </w:t>
      </w:r>
      <w:r>
        <w:t xml:space="preserve">Averages across a population of reward models for robustness, though not policies directly.</w:t>
      </w:r>
    </w:p>
    <w:p>
      <w:pPr>
        <w:spacing w:after="160"/>
      </w:pPr>
      <w:r>
        <w:t xml:space="preserve">The gap in the literature is explicit: parallel multi-seed RLVR with cross-group advantage estimation and teacher-based cross-pollination. GLM-5 validates the merging mechanism but uses it in a topology that limits mode diversity.</w:t>
      </w:r>
    </w:p>
    <w:p>
      <w:pPr>
        <w:pStyle w:val="Heading1"/>
      </w:pPr>
      <w:r>
        <w:t xml:space="preserve">7. Risks and Failure Modes</w:t>
      </w:r>
    </w:p>
    <w:p>
      <w:pPr>
        <w:pStyle w:val="Heading2"/>
      </w:pPr>
      <w:r>
        <w:t xml:space="preserve">7.1 Seeds Find the Same Mode</w:t>
      </w:r>
    </w:p>
    <w:p>
      <w:pPr>
        <w:spacing w:after="160"/>
      </w:pPr>
      <w:r>
        <w:t xml:space="preserve">The primary risk. If random seeds alone do not produce meaningful divergence in solution strategies, the entire approach reduces to an expensive way to do variance reduction. Mitigation: measure mode divergence in Phase 0 before committing to the full pipeline. If divergence is insufficient, actively diversify via different problem subsets per policy.</w:t>
      </w:r>
    </w:p>
    <w:p>
      <w:pPr>
        <w:pStyle w:val="Heading2"/>
      </w:pPr>
      <w:r>
        <w:t xml:space="preserve">7.2 Teacher-Student Calibration</w:t>
      </w:r>
    </w:p>
    <w:p>
      <w:pPr>
        <w:spacing w:after="160"/>
      </w:pPr>
      <w:r>
        <w:t xml:space="preserve">Teacher-based advantage (Option D) assumes the teacher’s logits are meaningful on the student’s rollouts. If the teacher and student have diverged significantly in policy space (which is the whole point of independent training), the teacher’s token-level preferences on the student’s generations may be poorly calibrated. GLM-5 avoids this because temporal stages remain close in policy space. Our parallel populations could be far apart. We recommend monitoring the KL divergence between each teacher and the student during training; if it exceeds a threshold, the advantage signal degrades and the teacher should be down-weighted.</w:t>
      </w:r>
    </w:p>
    <w:p>
      <w:pPr>
        <w:pStyle w:val="Heading2"/>
      </w:pPr>
      <w:r>
        <w:t xml:space="preserve">7.3 Saturated Cross-Group Advantages</w:t>
      </w:r>
    </w:p>
    <w:p>
      <w:pPr>
        <w:spacing w:after="160"/>
      </w:pPr>
      <w:r>
        <w:t xml:space="preserve">If policies diverge too much, the cross-comparison advantages become dominated by “which policy is better overall” rather than “which responses are better.” This kills the per-token credit assignment that makes GRPO work. The policies must stay close enough that the variance in rewards is driven by response quality, not policy quality. Soft synchronization is designed to prevent this.</w:t>
      </w:r>
    </w:p>
    <w:p>
      <w:pPr>
        <w:pStyle w:val="Heading2"/>
      </w:pPr>
      <w:r>
        <w:t xml:space="preserve">7.4 The Iso-Compute Challenge</w:t>
      </w:r>
    </w:p>
    <w:p>
      <w:pPr>
        <w:spacing w:after="160"/>
      </w:pPr>
      <w:r>
        <w:t xml:space="preserve">Under iso-compute conditions, each policy trains for fewer steps. If the minimum number of steps to identify a mode is high (say, 400+ steps), then K=4 policies at 200 steps each may all be undertrained. The experimental plan includes an ablation over per-policy training budget to identify the minimum viable number of steps.</w:t>
      </w:r>
    </w:p>
    <w:p>
      <w:pPr>
        <w:pStyle w:val="Heading1"/>
      </w:pPr>
      <w:r>
        <w:t xml:space="preserve">8. Experimental Plan</w:t>
      </w:r>
    </w:p>
    <w:p>
      <w:pPr>
        <w:pStyle w:val="Heading2"/>
      </w:pPr>
      <w:r>
        <w:t xml:space="preserve">8.1 Phase 0: Mode Divergence Validation (1 week)</w:t>
      </w:r>
    </w:p>
    <w:p>
      <w:pPr>
        <w:spacing w:after="160"/>
      </w:pPr>
      <w:r>
        <w:t xml:space="preserve">Train K=4 RLVR runs (Qwen3-4B, different seeds) for 200 steps each. Measure:</w:t>
      </w:r>
    </w:p>
    <w:p>
      <w:pPr>
        <w:pStyle w:val="ListParagraph"/>
        <w:numPr>
          <w:ilvl w:val="0"/>
          <w:numId w:val="4"/>
        </w:numPr>
        <w:spacing w:after="80"/>
      </w:pPr>
      <w:r>
        <w:t xml:space="preserve">Per-run coverage (problems solved)</w:t>
      </w:r>
    </w:p>
    <w:p>
      <w:pPr>
        <w:pStyle w:val="ListParagraph"/>
        <w:numPr>
          <w:ilvl w:val="0"/>
          <w:numId w:val="4"/>
        </w:numPr>
        <w:spacing w:after="80"/>
      </w:pPr>
      <w:r>
        <w:t xml:space="preserve">Pairwise overlap (Jaccard similarity of solved problem sets)</w:t>
      </w:r>
    </w:p>
    <w:p>
      <w:pPr>
        <w:pStyle w:val="ListParagraph"/>
        <w:numPr>
          <w:ilvl w:val="0"/>
          <w:numId w:val="4"/>
        </w:numPr>
        <w:spacing w:after="80"/>
      </w:pPr>
      <w:r>
        <w:t xml:space="preserve">Union coverage vs. best individual coverage</w:t>
      </w:r>
    </w:p>
    <w:p>
      <w:pPr>
        <w:pStyle w:val="ListParagraph"/>
        <w:numPr>
          <w:ilvl w:val="0"/>
          <w:numId w:val="4"/>
        </w:numPr>
        <w:spacing w:after="80"/>
      </w:pPr>
      <w:r>
        <w:t xml:space="preserve">Solution diversity within the union (embedding-based clustering)</w:t>
      </w:r>
    </w:p>
    <w:p>
      <w:pPr>
        <w:spacing w:after="160"/>
      </w:pPr>
      <w:r>
        <w:rPr>
          <w:b/>
          <w:bCs/>
        </w:rPr>
        <w:t xml:space="preserve">Go/no-go criterion: </w:t>
      </w:r>
      <w:r>
        <w:t xml:space="preserve">If union coverage exceeds best individual by &gt;5% of problems solved, proceed. If &lt;3%, the approach is unlikely to justify the pipeline complexity.</w:t>
      </w:r>
    </w:p>
    <w:p>
      <w:pPr>
        <w:pStyle w:val="Heading2"/>
      </w:pPr>
      <w:r>
        <w:t xml:space="preserve">8.2 Phase 1: Cross-Pollination Comparison (4 weeks)</w:t>
      </w:r>
    </w:p>
    <w:p>
      <w:pPr>
        <w:spacing w:after="160"/>
      </w:pPr>
      <w:r>
        <w:t xml:space="preserve">Compare the four cross-pollination options against baselines:</w:t>
      </w:r>
    </w:p>
    <w:p>
      <w:pPr>
        <w:pStyle w:val="ListParagraph"/>
        <w:numPr>
          <w:ilvl w:val="0"/>
          <w:numId w:val="5"/>
        </w:numPr>
        <w:spacing w:after="80"/>
      </w:pPr>
      <w:r>
        <w:t xml:space="preserve">Option A: SFT base on union of solutions, continue RLVR</w:t>
      </w:r>
    </w:p>
    <w:p>
      <w:pPr>
        <w:pStyle w:val="ListParagraph"/>
        <w:numPr>
          <w:ilvl w:val="0"/>
          <w:numId w:val="5"/>
        </w:numPr>
        <w:spacing w:after="80"/>
      </w:pPr>
      <w:r>
        <w:t xml:space="preserve">Option B: Forward-KL distillation from mixture policy</w:t>
      </w:r>
    </w:p>
    <w:p>
      <w:pPr>
        <w:pStyle w:val="ListParagraph"/>
        <w:numPr>
          <w:ilvl w:val="0"/>
          <w:numId w:val="5"/>
        </w:numPr>
        <w:spacing w:after="80"/>
      </w:pPr>
      <w:r>
        <w:t xml:space="preserve">Option D: Teacher-based advantage with competence weighting (G=1)</w:t>
      </w:r>
    </w:p>
    <w:p>
      <w:pPr>
        <w:pStyle w:val="ListParagraph"/>
        <w:numPr>
          <w:ilvl w:val="0"/>
          <w:numId w:val="5"/>
        </w:numPr>
        <w:spacing w:after="80"/>
      </w:pPr>
      <w:r>
        <w:t xml:space="preserve">Baseline 1: Single RLVR run, same total compute</w:t>
      </w:r>
    </w:p>
    <w:p>
      <w:pPr>
        <w:pStyle w:val="ListParagraph"/>
        <w:numPr>
          <w:ilvl w:val="0"/>
          <w:numId w:val="5"/>
        </w:numPr>
        <w:spacing w:after="80"/>
      </w:pPr>
      <w:r>
        <w:t xml:space="preserve">Baseline 2: Single RLVR run, K× compute</w:t>
      </w:r>
    </w:p>
    <w:p>
      <w:pPr>
        <w:pStyle w:val="ListParagraph"/>
        <w:numPr>
          <w:ilvl w:val="0"/>
          <w:numId w:val="5"/>
        </w:numPr>
        <w:spacing w:after="80"/>
      </w:pPr>
      <w:r>
        <w:t xml:space="preserve">Baseline 3: Single RLVR run with diversity bonus (DAPO/STEER-style)</w:t>
      </w:r>
    </w:p>
    <w:p>
      <w:pPr>
        <w:pStyle w:val="Heading2"/>
      </w:pPr>
      <w:r>
        <w:t xml:space="preserve">8.3 Phase 2: Analysis (2 weeks)</w:t>
      </w:r>
    </w:p>
    <w:p>
      <w:pPr>
        <w:spacing w:after="160"/>
      </w:pPr>
      <w:r>
        <w:t xml:space="preserve">Evaluate on: Pass@1, Pass@k (k=1,4,16,64), per-problem coverage analysis (which problems does the population method solve that the baselines do not?), difficulty-weighted coverage (weight problems by inverse base-model pass rate), and solution diversity metrics (number of distinct solution clusters).</w:t>
      </w:r>
    </w:p>
    <w:p>
      <w:pPr>
        <w:pStyle w:val="Heading1"/>
      </w:pPr>
      <w:r>
        <w:t xml:space="preserve">9. The Iso-Compute Hypothesis</w:t>
      </w:r>
    </w:p>
    <w:p>
      <w:pPr>
        <w:spacing w:after="160"/>
      </w:pPr>
      <w:r>
        <w:rPr>
          <w:b/>
          <w:bCs/>
        </w:rPr>
        <w:t xml:space="preserve">Central claim: </w:t>
      </w:r>
      <w:r>
        <w:t xml:space="preserve">K short RLVR runs + merge &gt; 1 long RLVR run, at the same total compute budget.</w:t>
      </w:r>
    </w:p>
    <w:p>
      <w:pPr>
        <w:spacing w:after="160"/>
      </w:pPr>
      <w:r>
        <w:t xml:space="preserve">The intuition is that early training identifies the mode (which solution strategies get amplified) while later training is pure sharpening with diminishing returns. If the mode is identified by step 200, then the last 600 steps of an 800-step run are spent making one mode sharper. Spending those 600 steps finding three other modes, then merging, should yield more total coverage.</w:t>
      </w:r>
    </w:p>
    <w:p>
      <w:pPr>
        <w:spacing w:after="160"/>
      </w:pPr>
      <w:r>
        <w:t xml:space="preserve">This can be tested empirically by plotting per-policy learning curves and identifying the “elbow”—the step at which Pass@1 gains flatten. If the elbow occurs early (step 100–200), the iso-compute hypothesis is likely to hold. If it occurs late (step 400+), each policy may be undertrained and the approach will underperform.</w:t>
      </w:r>
    </w:p>
    <w:p>
      <w:pPr>
        <w:pStyle w:val="Heading1"/>
      </w:pPr>
      <w:r>
        <w:t xml:space="preserve">10. Theoretical Perspective</w:t>
      </w:r>
    </w:p>
    <w:p>
      <w:pPr>
        <w:spacing w:after="160"/>
      </w:pPr>
      <w:r>
        <w:t xml:space="preserve">Let Cₖ denote the set of problems solved by policy k. If policies are trained independently:</w:t>
      </w:r>
    </w:p>
    <w:p>
      <w:pPr>
        <w:spacing w:before="120" w:after="120"/>
        <w:jc w:val="center"/>
      </w:pPr>
      <w:r>
        <w:rPr>
          <w:rFonts w:ascii="Cambria Math" w:cs="Cambria Math" w:eastAsia="Cambria Math" w:hAnsi="Cambria Math"/>
          <w:i/>
          <w:iCs/>
          <w:sz w:val="22"/>
          <w:szCs w:val="22"/>
        </w:rPr>
        <w:t xml:space="preserve">E[|∪ₖ Cₖ|] ≥ |E[C₁]|</w:t>
      </w:r>
    </w:p>
    <w:p>
      <w:pPr>
        <w:spacing w:after="160"/>
      </w:pPr>
      <w:r>
        <w:t xml:space="preserve">with equality only if all policies find identical solutions. Under diversity (different seeds), the union grows sublinearly but strictly faster than a single run.</w:t>
      </w:r>
    </w:p>
    <w:p>
      <w:pPr>
        <w:spacing w:after="160"/>
      </w:pPr>
      <w:r>
        <w:t xml:space="preserve">The connection to the reweighting ceiling is direct: cross-pollination via SFT expands supp(πθ). If policy B’s solutions include strategies absent from policy A’s support, SFT on those solutions literally raises policy A’s reweighting ceiling. Subsequent RLVR then optimizes within this expanded support, achieving a final policy that is strictly better than what any single-seed run could produce.</w:t>
      </w:r>
    </w:p>
    <w:p>
      <w:pPr>
        <w:pStyle w:val="Heading1"/>
      </w:pPr>
      <w:r>
        <w:t xml:space="preserve">11. Positioning and Contribution</w:t>
      </w:r>
    </w:p>
    <w:p>
      <w:pPr>
        <w:spacing w:after="160"/>
      </w:pPr>
      <w:r>
        <w:t xml:space="preserve">This proposal makes three contributions:</w:t>
      </w:r>
    </w:p>
    <w:p>
      <w:pPr>
        <w:pStyle w:val="ListParagraph"/>
        <w:numPr>
          <w:ilvl w:val="0"/>
          <w:numId w:val="6"/>
        </w:numPr>
        <w:spacing w:after="80"/>
      </w:pPr>
      <w:r>
        <w:rPr>
          <w:b/>
          <w:bCs/>
        </w:rPr>
        <w:t xml:space="preserve">A formal analysis </w:t>
      </w:r>
      <w:r>
        <w:t xml:space="preserve">of population-based GRPO, showing when it reduces to standard GRPO (shared gradients) versus when it produces genuinely different behavior (independent gradients).</w:t>
      </w:r>
    </w:p>
    <w:p>
      <w:pPr>
        <w:pStyle w:val="ListParagraph"/>
        <w:numPr>
          <w:ilvl w:val="0"/>
          <w:numId w:val="6"/>
        </w:numPr>
        <w:spacing w:after="80"/>
      </w:pPr>
      <w:r>
        <w:rPr>
          <w:b/>
          <w:bCs/>
        </w:rPr>
        <w:t xml:space="preserve">Cross-group advantage estimation </w:t>
      </w:r>
      <w:r>
        <w:t xml:space="preserve">as an algorithmic primitive that provides better baselines and enables independent mode discovery.</w:t>
      </w:r>
    </w:p>
    <w:p>
      <w:pPr>
        <w:pStyle w:val="ListParagraph"/>
        <w:numPr>
          <w:ilvl w:val="0"/>
          <w:numId w:val="6"/>
        </w:numPr>
        <w:spacing w:after="80"/>
      </w:pPr>
      <w:r>
        <w:rPr>
          <w:b/>
          <w:bCs/>
        </w:rPr>
        <w:t xml:space="preserve">A practical pipeline </w:t>
      </w:r>
      <w:r>
        <w:t xml:space="preserve">for breaking the reweighting ceiling via divergent training and teacher-based cross-pollination, building on validated mechanisms from GLM-5 and DPH-RL.</w:t>
      </w:r>
    </w:p>
    <w:p>
      <w:pPr>
        <w:spacing w:after="160"/>
      </w:pPr>
      <w:r>
        <w:t xml:space="preserve">The approach is conceptually clean (independent exploration + unified exploitation), requires no architectural changes or external oracles, and directly addresses the reweighting ceiling with a clear mechanism. The experimental plan is designed with an early kill criterion to avoid wasted compute if the core hypothesis does not hold.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Population-Based GRPO — Research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D3A4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D5A8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2026-03-07T20:47:13.805Z</dcterms:created>
  <dcterms:modified xsi:type="dcterms:W3CDTF">2026-03-07T20:47:13.806Z</dcterms:modified>
</cp:coreProperties>
</file>

<file path=docProps/custom.xml><?xml version="1.0" encoding="utf-8"?>
<Properties xmlns="http://schemas.openxmlformats.org/officeDocument/2006/custom-properties" xmlns:vt="http://schemas.openxmlformats.org/officeDocument/2006/docPropsVTypes"/>
</file>