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0c343d"/>
          <w:sz w:val="48"/>
          <w:szCs w:val="48"/>
          <w:u w:val="single"/>
        </w:rPr>
      </w:pPr>
      <w:r w:rsidDel="00000000" w:rsidR="00000000" w:rsidRPr="00000000">
        <w:rPr>
          <w:b w:val="1"/>
          <w:color w:val="0c343d"/>
          <w:sz w:val="48"/>
          <w:szCs w:val="48"/>
          <w:u w:val="single"/>
          <w:rtl w:val="0"/>
        </w:rPr>
        <w:t xml:space="preserve">Glossary</w:t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bidi w:val="1"/>
        <w:ind w:left="720" w:hanging="360"/>
        <w:contextualSpacing w:val="1"/>
        <w:rPr>
          <w:color w:val="0c343d"/>
          <w:sz w:val="28"/>
          <w:szCs w:val="28"/>
        </w:rPr>
      </w:pP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משתמש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אדם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אשר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נרשם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למערכת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ופרטיו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נשמרים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בבסיס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הנתונים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bidi w:val="1"/>
        <w:ind w:left="720" w:hanging="360"/>
        <w:contextualSpacing w:val="1"/>
        <w:rPr>
          <w:color w:val="0c343d"/>
          <w:sz w:val="28"/>
          <w:szCs w:val="28"/>
          <w:u w:val="none"/>
        </w:rPr>
      </w:pP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המערכת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מערכת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לניהול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משחק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אינטראקטיבי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בין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המשתמשים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bidi w:val="1"/>
        <w:ind w:left="720" w:hanging="360"/>
        <w:contextualSpacing w:val="1"/>
        <w:rPr>
          <w:color w:val="0c343d"/>
          <w:sz w:val="28"/>
          <w:szCs w:val="28"/>
        </w:rPr>
      </w:pP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שחקן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משתמש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של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המערכת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bidi w:val="1"/>
        <w:ind w:left="720" w:hanging="360"/>
        <w:contextualSpacing w:val="1"/>
        <w:jc w:val="left"/>
        <w:rPr>
          <w:color w:val="0c343d"/>
          <w:sz w:val="28"/>
          <w:szCs w:val="28"/>
          <w:u w:val="none"/>
        </w:rPr>
      </w:pP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משחק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משחק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Texas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Hold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'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אינטראקטיבי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המשחק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הוא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משחק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פוקר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בסגנון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Texas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Hold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'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והוא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מורכב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משחקנים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שולחן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חפיסת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קלפים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וצ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'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יפים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המשחק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נגמר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כשנשאר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רק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שחקן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אחד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שלא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התקפל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ראה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למטה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והוא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זה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שמקבל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את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כל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הקופה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bidi w:val="1"/>
        <w:ind w:left="720" w:hanging="360"/>
        <w:contextualSpacing w:val="1"/>
        <w:jc w:val="left"/>
        <w:rPr>
          <w:color w:val="0c343d"/>
          <w:sz w:val="28"/>
          <w:szCs w:val="28"/>
          <w:u w:val="none"/>
        </w:rPr>
      </w:pP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שולחן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השולחן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שמסביבו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יושבים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השחקנים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שמשחקים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באותו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המשחק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bidi w:val="1"/>
        <w:ind w:left="720" w:hanging="360"/>
        <w:contextualSpacing w:val="1"/>
        <w:rPr>
          <w:color w:val="0c343d"/>
          <w:sz w:val="28"/>
          <w:szCs w:val="28"/>
        </w:rPr>
      </w:pP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צפייה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במשחק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המשתמש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יכול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להיות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צופה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מהצד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(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לא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יושב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בשולחן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במשחק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פעיל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אך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לא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לבצע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פעולות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שקשורות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למהלך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המשחק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עצמו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bidi w:val="1"/>
        <w:ind w:left="720" w:hanging="360"/>
        <w:contextualSpacing w:val="1"/>
        <w:jc w:val="left"/>
        <w:rPr>
          <w:color w:val="0c343d"/>
          <w:sz w:val="28"/>
          <w:szCs w:val="28"/>
          <w:u w:val="none"/>
        </w:rPr>
      </w:pP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דילר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מנהל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את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המשחק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ומחלק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את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הקלפים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הדילר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הוא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לא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שחקן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פעיל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אלא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מופעל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על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ידי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מערכת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המשחק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bidi w:val="1"/>
        <w:ind w:left="720" w:hanging="360"/>
        <w:contextualSpacing w:val="1"/>
        <w:jc w:val="left"/>
        <w:rPr>
          <w:b w:val="1"/>
          <w:color w:val="0c343d"/>
          <w:sz w:val="28"/>
          <w:szCs w:val="28"/>
        </w:rPr>
      </w:pP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חפיסת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הקלפים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חפיסת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קלפים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חוקים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סטנדרטית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המורכבת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52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קלפים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המחולקים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4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סוגים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תלתן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♣,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יהלום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♦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לב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♥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עלה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♠. 13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דרגות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בכל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סדרה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2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עד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10,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נסיך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J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),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מלכה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Q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),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מלך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K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ואס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bidi w:val="1"/>
        <w:ind w:left="720" w:hanging="360"/>
        <w:contextualSpacing w:val="1"/>
        <w:jc w:val="left"/>
        <w:rPr>
          <w:color w:val="0c343d"/>
          <w:sz w:val="28"/>
          <w:szCs w:val="28"/>
          <w:u w:val="none"/>
        </w:rPr>
      </w:pP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ביי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-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אין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Buy</w:t>
      </w:r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in</w:t>
      </w:r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-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הסכום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המינימלי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הנדרש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לישיבה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בשולחן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כניסה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למשחק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bidi w:val="1"/>
        <w:ind w:left="720" w:hanging="360"/>
        <w:contextualSpacing w:val="1"/>
        <w:jc w:val="left"/>
        <w:rPr>
          <w:b w:val="1"/>
          <w:color w:val="0c343d"/>
          <w:sz w:val="28"/>
          <w:szCs w:val="28"/>
        </w:rPr>
      </w:pP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סבב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 -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מתחיל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מהדילר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בכיוון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השעון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ועובר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בין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השחקנים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שיושבים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מסביב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לשולחן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. 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מיקום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בשולחן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-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המיקום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של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השחקן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סביב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שולחן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הפוקר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יחסית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לדילר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bidi w:val="1"/>
        <w:ind w:left="720" w:hanging="360"/>
        <w:contextualSpacing w:val="1"/>
        <w:jc w:val="left"/>
        <w:rPr>
          <w:b w:val="1"/>
          <w:color w:val="0c343d"/>
          <w:sz w:val="28"/>
          <w:szCs w:val="28"/>
        </w:rPr>
      </w:pP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בליינד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(Blind) -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הימור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המחויב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הנעשה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על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ידי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שני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השחקנים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היושבים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משמאל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לדילר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אחד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משמאל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נקרא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small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-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blind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המבצע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חצי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מההיצור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הכפוי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משמאלו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יושב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big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-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blind</w:t>
      </w:r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המבצע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הימור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שלם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bidi w:val="1"/>
        <w:ind w:left="720" w:hanging="360"/>
        <w:contextualSpacing w:val="1"/>
        <w:jc w:val="left"/>
        <w:rPr>
          <w:b w:val="1"/>
          <w:color w:val="0c343d"/>
          <w:sz w:val="28"/>
          <w:szCs w:val="28"/>
        </w:rPr>
      </w:pP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העלאה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Raise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) -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העלאת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ההימור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bidi w:val="1"/>
        <w:ind w:left="720" w:hanging="360"/>
        <w:contextualSpacing w:val="1"/>
        <w:jc w:val="left"/>
        <w:rPr>
          <w:b w:val="1"/>
          <w:color w:val="0c343d"/>
          <w:sz w:val="28"/>
          <w:szCs w:val="28"/>
        </w:rPr>
      </w:pP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התקפלות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Fold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) -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לזרוק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את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היד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לפרוש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מהסיבוב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עד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שמתחילים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משחק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חדש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bidi w:val="1"/>
        <w:ind w:left="720" w:hanging="360"/>
        <w:contextualSpacing w:val="1"/>
        <w:jc w:val="left"/>
        <w:rPr>
          <w:b w:val="1"/>
          <w:color w:val="0c343d"/>
          <w:sz w:val="28"/>
          <w:szCs w:val="28"/>
        </w:rPr>
      </w:pP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קריאה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Check</w:t>
      </w:r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) -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לא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להמר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אך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להישאר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במשחק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אין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אפשרות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</w:t>
      </w:r>
      <w:r w:rsidDel="00000000" w:rsidR="00000000" w:rsidRPr="00000000">
        <w:rPr>
          <w:color w:val="0c343d"/>
          <w:sz w:val="28"/>
          <w:szCs w:val="28"/>
          <w:rtl w:val="0"/>
        </w:rPr>
        <w:t xml:space="preserve">check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אחרי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ששחקן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העלה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באותו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סיבוב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הימורים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bidi w:val="1"/>
        <w:ind w:left="720" w:hanging="360"/>
        <w:contextualSpacing w:val="1"/>
        <w:jc w:val="left"/>
        <w:rPr>
          <w:b w:val="1"/>
          <w:color w:val="0c343d"/>
          <w:sz w:val="28"/>
          <w:szCs w:val="28"/>
        </w:rPr>
      </w:pP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השוואה</w:t>
      </w:r>
      <w:r w:rsidDel="00000000" w:rsidR="00000000" w:rsidRPr="00000000">
        <w:rPr>
          <w:b w:val="1"/>
          <w:color w:val="0c343d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Call</w:t>
      </w:r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) -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השוואת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ההימור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שהשחקן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שקדם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לו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הימר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אם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היה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כזה</w:t>
      </w:r>
      <w:r w:rsidDel="00000000" w:rsidR="00000000" w:rsidRPr="00000000">
        <w:rPr>
          <w:color w:val="0c343d"/>
          <w:sz w:val="28"/>
          <w:szCs w:val="28"/>
          <w:rtl w:val="1"/>
        </w:rPr>
        <w:t xml:space="preserve">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