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4C" w:rsidRPr="0092604C" w:rsidRDefault="0092604C" w:rsidP="009260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04C">
        <w:rPr>
          <w:rFonts w:ascii="Times New Roman" w:hAnsi="Times New Roman" w:cs="Times New Roman"/>
          <w:b/>
          <w:sz w:val="28"/>
          <w:szCs w:val="28"/>
        </w:rPr>
        <w:t>REVIEW</w:t>
      </w:r>
    </w:p>
    <w:tbl>
      <w:tblPr>
        <w:tblStyle w:val="TableGrid"/>
        <w:tblW w:w="8950" w:type="dxa"/>
        <w:jc w:val="center"/>
        <w:tblInd w:w="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735"/>
        <w:gridCol w:w="7215"/>
      </w:tblGrid>
      <w:tr w:rsidR="0092604C" w:rsidTr="00054315">
        <w:trPr>
          <w:trHeight w:val="683"/>
          <w:jc w:val="center"/>
        </w:trPr>
        <w:tc>
          <w:tcPr>
            <w:tcW w:w="1735" w:type="dxa"/>
          </w:tcPr>
          <w:p w:rsidR="0092604C" w:rsidRPr="0092604C" w:rsidRDefault="0092604C" w:rsidP="00926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04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7215" w:type="dxa"/>
          </w:tcPr>
          <w:p w:rsidR="0092604C" w:rsidRPr="00054315" w:rsidRDefault="00054315" w:rsidP="0005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315">
              <w:rPr>
                <w:rFonts w:ascii="Times New Roman" w:hAnsi="Times New Roman" w:cs="Times New Roman"/>
                <w:sz w:val="24"/>
                <w:szCs w:val="24"/>
              </w:rPr>
              <w:t>Designing IT Governance Approach Standard ISO 38500 For Indonesia Higher Education</w:t>
            </w:r>
          </w:p>
        </w:tc>
      </w:tr>
      <w:tr w:rsidR="0092604C" w:rsidTr="00C40628">
        <w:trPr>
          <w:trHeight w:val="693"/>
          <w:jc w:val="center"/>
        </w:trPr>
        <w:tc>
          <w:tcPr>
            <w:tcW w:w="1735" w:type="dxa"/>
          </w:tcPr>
          <w:p w:rsidR="0092604C" w:rsidRPr="00054315" w:rsidRDefault="00054315" w:rsidP="0005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31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215" w:type="dxa"/>
          </w:tcPr>
          <w:p w:rsidR="0092604C" w:rsidRPr="00054315" w:rsidRDefault="00054315" w:rsidP="0005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315">
              <w:rPr>
                <w:rFonts w:ascii="Times New Roman" w:hAnsi="Times New Roman" w:cs="Times New Roman"/>
                <w:sz w:val="24"/>
                <w:szCs w:val="24"/>
              </w:rPr>
              <w:t>The First International Conference on Law, Business and Government 2013, UBL, Indonesia</w:t>
            </w:r>
          </w:p>
        </w:tc>
      </w:tr>
      <w:tr w:rsidR="0092604C" w:rsidTr="00C40628">
        <w:trPr>
          <w:trHeight w:val="688"/>
          <w:jc w:val="center"/>
        </w:trPr>
        <w:tc>
          <w:tcPr>
            <w:tcW w:w="173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21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 xml:space="preserve">Arnes Yuli Vandika, Samsul Arifin, Eka Imama Novita Sari,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Debi Herlina Meilani</w:t>
            </w:r>
          </w:p>
        </w:tc>
      </w:tr>
      <w:tr w:rsidR="0092604C" w:rsidTr="00C40628">
        <w:trPr>
          <w:trHeight w:val="415"/>
          <w:jc w:val="center"/>
        </w:trPr>
        <w:tc>
          <w:tcPr>
            <w:tcW w:w="173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721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Diba Madya Margerefti, Rahmaulia, Rosita, Seli Puri Andani</w:t>
            </w:r>
          </w:p>
        </w:tc>
      </w:tr>
      <w:tr w:rsidR="0092604C" w:rsidTr="00C40628">
        <w:trPr>
          <w:trHeight w:val="392"/>
          <w:jc w:val="center"/>
        </w:trPr>
        <w:tc>
          <w:tcPr>
            <w:tcW w:w="173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21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29 November 2019</w:t>
            </w:r>
          </w:p>
        </w:tc>
      </w:tr>
      <w:tr w:rsidR="0092604C" w:rsidTr="003569A3">
        <w:trPr>
          <w:trHeight w:val="2100"/>
          <w:jc w:val="center"/>
        </w:trPr>
        <w:tc>
          <w:tcPr>
            <w:tcW w:w="1735" w:type="dxa"/>
          </w:tcPr>
          <w:p w:rsidR="0092604C" w:rsidRPr="00C40628" w:rsidRDefault="00C40628" w:rsidP="00C40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28">
              <w:rPr>
                <w:rFonts w:ascii="Times New Roman" w:hAnsi="Times New Roman" w:cs="Times New Roman"/>
                <w:sz w:val="24"/>
                <w:szCs w:val="24"/>
              </w:rPr>
              <w:t>Objective(S)</w:t>
            </w:r>
          </w:p>
        </w:tc>
        <w:tc>
          <w:tcPr>
            <w:tcW w:w="7215" w:type="dxa"/>
          </w:tcPr>
          <w:p w:rsidR="0092604C" w:rsidRPr="003569A3" w:rsidRDefault="009D4CCA" w:rsidP="0091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  <w:lang/>
              </w:rPr>
              <w:t>In this journal discuss about</w:t>
            </w:r>
            <w:r w:rsid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the use of  IT to support </w:t>
            </w:r>
            <w:r w:rsidR="003569A3"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operational  activities  of  an  organization  in  both  small  and  large  scale</w:t>
            </w:r>
            <w:r w:rsid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569A3"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University  as  an  educational</w:t>
            </w:r>
            <w:r w:rsid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9A3"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organization  working  to  implement  IT  solutions  to  help  its street  op</w:t>
            </w:r>
            <w:r w:rsid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erations  and  serve  customers </w:t>
            </w:r>
            <w:r w:rsidR="003569A3"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(students).  ISO  (the  International  Organization  for  Standardization)</w:t>
            </w:r>
            <w:r w:rsid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 and  IEC  (the  International </w:t>
            </w:r>
            <w:r w:rsidR="003569A3" w:rsidRPr="003569A3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Electrotechnical  Commission)  form  the  specialized  system  for  worldwide  standardization.</w:t>
            </w:r>
          </w:p>
        </w:tc>
      </w:tr>
      <w:tr w:rsidR="0092604C" w:rsidTr="009164BC">
        <w:trPr>
          <w:trHeight w:val="1549"/>
          <w:jc w:val="center"/>
        </w:trPr>
        <w:tc>
          <w:tcPr>
            <w:tcW w:w="1735" w:type="dxa"/>
          </w:tcPr>
          <w:p w:rsidR="0092604C" w:rsidRPr="003569A3" w:rsidRDefault="003569A3" w:rsidP="00356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9A3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7215" w:type="dxa"/>
          </w:tcPr>
          <w:p w:rsidR="009164BC" w:rsidRPr="009164BC" w:rsidRDefault="009164BC" w:rsidP="0091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4BC">
              <w:rPr>
                <w:rFonts w:ascii="Times New Roman" w:hAnsi="Times New Roman" w:cs="Times New Roman"/>
                <w:sz w:val="24"/>
                <w:szCs w:val="24"/>
              </w:rPr>
              <w:t>ISO and IEC technical committees collaborate in fields of mutual interest. Other international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4BC">
              <w:rPr>
                <w:rFonts w:ascii="Times New Roman" w:hAnsi="Times New Roman" w:cs="Times New Roman"/>
                <w:sz w:val="24"/>
                <w:szCs w:val="24"/>
              </w:rPr>
              <w:t>organizations,  governmental  and  non-governmental, in  liaison  with  ISO  and  IEC,  also  take  part  in the</w:t>
            </w:r>
          </w:p>
          <w:p w:rsidR="0092604C" w:rsidRPr="009164BC" w:rsidRDefault="009164BC" w:rsidP="0091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4BC">
              <w:rPr>
                <w:rFonts w:ascii="Times New Roman" w:hAnsi="Times New Roman" w:cs="Times New Roman"/>
                <w:sz w:val="24"/>
                <w:szCs w:val="24"/>
              </w:rPr>
              <w:t>work. In the field of information technology, ISO and IEC have established a joint technical committee,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4BC">
              <w:rPr>
                <w:rFonts w:ascii="Times New Roman" w:hAnsi="Times New Roman" w:cs="Times New Roman"/>
                <w:sz w:val="24"/>
                <w:szCs w:val="24"/>
              </w:rPr>
              <w:t>ISO/IEC JTC 1.</w:t>
            </w:r>
          </w:p>
        </w:tc>
      </w:tr>
      <w:tr w:rsidR="0092604C" w:rsidTr="00DB2232">
        <w:trPr>
          <w:trHeight w:val="976"/>
          <w:jc w:val="center"/>
        </w:trPr>
        <w:tc>
          <w:tcPr>
            <w:tcW w:w="1735" w:type="dxa"/>
          </w:tcPr>
          <w:p w:rsidR="0092604C" w:rsidRPr="009164BC" w:rsidRDefault="009164BC" w:rsidP="00916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4BC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7215" w:type="dxa"/>
          </w:tcPr>
          <w:p w:rsidR="0092604C" w:rsidRPr="00DB2232" w:rsidRDefault="00DB2232" w:rsidP="00DB22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I</w:t>
            </w:r>
            <w:r w:rsidRPr="00DB2232">
              <w:rPr>
                <w:rStyle w:val="tlid-translation"/>
                <w:rFonts w:ascii="Times New Roman" w:hAnsi="Times New Roman" w:cs="Times New Roman"/>
                <w:sz w:val="24"/>
                <w:szCs w:val="24"/>
                <w:lang/>
              </w:rPr>
              <w:t>n this journal for</w:t>
            </w:r>
            <w:r w:rsidRPr="00DB2232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in order for the </w:t>
            </w:r>
            <w:r w:rsidRPr="00DB2232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education  run  more</w:t>
            </w:r>
            <w:r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32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effectively, each party in a company should be aware of the internal audit function, including functions in</w:t>
            </w:r>
            <w:r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232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achieving good organization governance.</w:t>
            </w:r>
          </w:p>
        </w:tc>
      </w:tr>
    </w:tbl>
    <w:p w:rsidR="005930F1" w:rsidRDefault="0023061E"/>
    <w:sectPr w:rsidR="005930F1" w:rsidSect="0023061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604C"/>
    <w:rsid w:val="00054315"/>
    <w:rsid w:val="0023061E"/>
    <w:rsid w:val="003569A3"/>
    <w:rsid w:val="003B3D3A"/>
    <w:rsid w:val="007A3252"/>
    <w:rsid w:val="009164BC"/>
    <w:rsid w:val="0092604C"/>
    <w:rsid w:val="009D4CCA"/>
    <w:rsid w:val="00C40628"/>
    <w:rsid w:val="00CA4042"/>
    <w:rsid w:val="00DB2232"/>
    <w:rsid w:val="00E5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9D4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2019-11-29T02:18:00Z</dcterms:created>
  <dcterms:modified xsi:type="dcterms:W3CDTF">2019-11-29T04:01:00Z</dcterms:modified>
</cp:coreProperties>
</file>