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Topic : Audit Method For Information Technology Governance</w:t>
      </w:r>
    </w:p>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Scope : How to align the application of information technology and organizational goals. Use by Cobit 5, ITIL, IT Security, and ISO 385000 method.</w:t>
      </w:r>
    </w:p>
    <w:p w:rsidR="00104223" w:rsidRPr="00A35E20" w:rsidRDefault="00104223" w:rsidP="00A35E20">
      <w:pPr>
        <w:jc w:val="both"/>
        <w:rPr>
          <w:rFonts w:ascii="Times New Roman" w:hAnsi="Times New Roman" w:cs="Times New Roman"/>
          <w:szCs w:val="24"/>
        </w:rPr>
      </w:pPr>
    </w:p>
    <w:p w:rsidR="00B45AA1" w:rsidRPr="00A35E20" w:rsidRDefault="00B45AA1" w:rsidP="00A35E20">
      <w:pPr>
        <w:jc w:val="center"/>
        <w:rPr>
          <w:rFonts w:ascii="Times New Roman" w:hAnsi="Times New Roman" w:cs="Times New Roman"/>
          <w:b/>
          <w:szCs w:val="24"/>
        </w:rPr>
      </w:pPr>
      <w:r w:rsidRPr="00A35E20">
        <w:rPr>
          <w:rFonts w:ascii="Times New Roman" w:hAnsi="Times New Roman" w:cs="Times New Roman"/>
          <w:b/>
          <w:szCs w:val="24"/>
        </w:rPr>
        <w:t>REVIEW</w:t>
      </w:r>
    </w:p>
    <w:tbl>
      <w:tblPr>
        <w:tblStyle w:val="TableGrid"/>
        <w:tblW w:w="9129" w:type="dxa"/>
        <w:tblLook w:val="04A0" w:firstRow="1" w:lastRow="0" w:firstColumn="1" w:lastColumn="0" w:noHBand="0" w:noVBand="1"/>
      </w:tblPr>
      <w:tblGrid>
        <w:gridCol w:w="1744"/>
        <w:gridCol w:w="7385"/>
      </w:tblGrid>
      <w:tr w:rsidR="00B45AA1" w:rsidRPr="00A35E20" w:rsidTr="000B585E">
        <w:trPr>
          <w:trHeight w:val="387"/>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Title</w:t>
            </w:r>
          </w:p>
        </w:tc>
        <w:tc>
          <w:tcPr>
            <w:tcW w:w="7385"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Proposed IT Governance at Hospital Based on COBIT 5 Framework</w:t>
            </w:r>
          </w:p>
        </w:tc>
      </w:tr>
      <w:tr w:rsidR="00B45AA1" w:rsidRPr="00A35E20" w:rsidTr="000B585E">
        <w:trPr>
          <w:trHeight w:val="279"/>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Type</w:t>
            </w:r>
          </w:p>
        </w:tc>
        <w:tc>
          <w:tcPr>
            <w:tcW w:w="7385"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Int. Journal of Applied IT</w:t>
            </w:r>
          </w:p>
        </w:tc>
      </w:tr>
      <w:tr w:rsidR="00B45AA1" w:rsidRPr="00A35E20" w:rsidTr="000B585E">
        <w:trPr>
          <w:trHeight w:val="411"/>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Volume &amp; Page</w:t>
            </w:r>
          </w:p>
        </w:tc>
        <w:tc>
          <w:tcPr>
            <w:tcW w:w="7385"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Vol 01, No 02</w:t>
            </w:r>
          </w:p>
        </w:tc>
      </w:tr>
      <w:tr w:rsidR="00B45AA1" w:rsidRPr="00A35E20" w:rsidTr="000B585E">
        <w:trPr>
          <w:trHeight w:val="274"/>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Year</w:t>
            </w:r>
          </w:p>
        </w:tc>
        <w:tc>
          <w:tcPr>
            <w:tcW w:w="7385"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2017</w:t>
            </w:r>
          </w:p>
        </w:tc>
      </w:tr>
      <w:tr w:rsidR="00B45AA1" w:rsidRPr="00A35E20" w:rsidTr="000B585E">
        <w:trPr>
          <w:trHeight w:val="407"/>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Author</w:t>
            </w:r>
          </w:p>
        </w:tc>
        <w:tc>
          <w:tcPr>
            <w:tcW w:w="7385"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Heru Nugroho</w:t>
            </w:r>
          </w:p>
        </w:tc>
      </w:tr>
      <w:tr w:rsidR="00B45AA1" w:rsidRPr="00A35E20" w:rsidTr="000B585E">
        <w:trPr>
          <w:trHeight w:val="413"/>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Reviewer</w:t>
            </w:r>
          </w:p>
        </w:tc>
        <w:tc>
          <w:tcPr>
            <w:tcW w:w="7385"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b/>
                <w:szCs w:val="24"/>
              </w:rPr>
              <w:t>Diba Madya Margerefti</w:t>
            </w:r>
            <w:r w:rsidRPr="00A35E20">
              <w:rPr>
                <w:rFonts w:ascii="Times New Roman" w:hAnsi="Times New Roman" w:cs="Times New Roman"/>
                <w:szCs w:val="24"/>
              </w:rPr>
              <w:t>, Rahmaulia, Rosita, Seli Puri Andani</w:t>
            </w:r>
          </w:p>
        </w:tc>
      </w:tr>
      <w:tr w:rsidR="00B45AA1" w:rsidRPr="00A35E20" w:rsidTr="000B585E">
        <w:trPr>
          <w:trHeight w:val="418"/>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Date</w:t>
            </w:r>
          </w:p>
        </w:tc>
        <w:tc>
          <w:tcPr>
            <w:tcW w:w="7385"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26 November 2019</w:t>
            </w:r>
          </w:p>
        </w:tc>
      </w:tr>
      <w:tr w:rsidR="00B45AA1" w:rsidRPr="00A35E20" w:rsidTr="000B585E">
        <w:trPr>
          <w:trHeight w:val="850"/>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Objective(s)</w:t>
            </w:r>
          </w:p>
        </w:tc>
        <w:tc>
          <w:tcPr>
            <w:tcW w:w="7385" w:type="dxa"/>
          </w:tcPr>
          <w:p w:rsidR="00B45AA1" w:rsidRPr="00A35E20" w:rsidRDefault="00B040C6" w:rsidP="00A35E20">
            <w:pPr>
              <w:jc w:val="both"/>
              <w:rPr>
                <w:rFonts w:ascii="Times New Roman" w:hAnsi="Times New Roman" w:cs="Times New Roman"/>
                <w:szCs w:val="24"/>
              </w:rPr>
            </w:pPr>
            <w:r w:rsidRPr="00A35E20">
              <w:rPr>
                <w:rFonts w:ascii="Times New Roman" w:hAnsi="Times New Roman" w:cs="Times New Roman"/>
                <w:szCs w:val="24"/>
              </w:rPr>
              <w:t>This study shows that . The existence of good IT governance at Hospitals is expected to provide improvement on quality, functionality, and ease of use of the service</w:t>
            </w:r>
          </w:p>
        </w:tc>
      </w:tr>
      <w:tr w:rsidR="00B45AA1" w:rsidRPr="00A35E20" w:rsidTr="000B585E">
        <w:trPr>
          <w:trHeight w:val="551"/>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Subject</w:t>
            </w:r>
          </w:p>
        </w:tc>
        <w:tc>
          <w:tcPr>
            <w:tcW w:w="7385" w:type="dxa"/>
          </w:tcPr>
          <w:p w:rsidR="00B45AA1" w:rsidRPr="00A35E20" w:rsidRDefault="003F051B" w:rsidP="00A35E20">
            <w:pPr>
              <w:jc w:val="both"/>
              <w:rPr>
                <w:rFonts w:ascii="Times New Roman" w:hAnsi="Times New Roman" w:cs="Times New Roman"/>
                <w:szCs w:val="24"/>
              </w:rPr>
            </w:pPr>
            <w:r w:rsidRPr="00A35E20">
              <w:rPr>
                <w:rFonts w:ascii="Times New Roman" w:hAnsi="Times New Roman" w:cs="Times New Roman"/>
                <w:szCs w:val="24"/>
              </w:rPr>
              <w:t>Performing the optimization of IT services to achieve the normal vision and mission uses base on a model of IT governance for a hospital</w:t>
            </w:r>
          </w:p>
        </w:tc>
      </w:tr>
      <w:tr w:rsidR="00B45AA1" w:rsidRPr="00A35E20" w:rsidTr="000B585E">
        <w:trPr>
          <w:trHeight w:val="842"/>
        </w:trPr>
        <w:tc>
          <w:tcPr>
            <w:tcW w:w="1744" w:type="dxa"/>
          </w:tcPr>
          <w:p w:rsidR="00B45AA1" w:rsidRPr="00A35E20" w:rsidRDefault="00B45AA1" w:rsidP="00A35E20">
            <w:pPr>
              <w:jc w:val="both"/>
              <w:rPr>
                <w:rFonts w:ascii="Times New Roman" w:hAnsi="Times New Roman" w:cs="Times New Roman"/>
                <w:szCs w:val="24"/>
              </w:rPr>
            </w:pPr>
            <w:r w:rsidRPr="00A35E20">
              <w:rPr>
                <w:rFonts w:ascii="Times New Roman" w:hAnsi="Times New Roman" w:cs="Times New Roman"/>
                <w:szCs w:val="24"/>
              </w:rPr>
              <w:t>Strength</w:t>
            </w:r>
          </w:p>
        </w:tc>
        <w:tc>
          <w:tcPr>
            <w:tcW w:w="7385" w:type="dxa"/>
          </w:tcPr>
          <w:p w:rsidR="00B45AA1" w:rsidRPr="00A35E20" w:rsidRDefault="003F051B" w:rsidP="00A35E20">
            <w:pPr>
              <w:jc w:val="both"/>
              <w:rPr>
                <w:rFonts w:ascii="Times New Roman" w:hAnsi="Times New Roman" w:cs="Times New Roman"/>
                <w:szCs w:val="24"/>
              </w:rPr>
            </w:pPr>
            <w:r w:rsidRPr="00A35E20">
              <w:rPr>
                <w:rFonts w:ascii="Times New Roman" w:hAnsi="Times New Roman" w:cs="Times New Roman"/>
                <w:szCs w:val="24"/>
              </w:rPr>
              <w:t>In this paper we present proposed IT governance in Hospital base on COBIT 5 framework, enablers that exist in COBIT 5 framework will be used as a determining factor in the preparation of the proposed model of IT governance</w:t>
            </w:r>
          </w:p>
        </w:tc>
      </w:tr>
    </w:tbl>
    <w:p w:rsidR="00B45AA1" w:rsidRPr="00A35E20" w:rsidRDefault="00B45AA1" w:rsidP="00A35E20">
      <w:pPr>
        <w:jc w:val="both"/>
        <w:rPr>
          <w:rFonts w:ascii="Times New Roman" w:hAnsi="Times New Roman" w:cs="Times New Roman"/>
          <w:szCs w:val="24"/>
        </w:rPr>
      </w:pPr>
    </w:p>
    <w:tbl>
      <w:tblPr>
        <w:tblStyle w:val="TableGrid"/>
        <w:tblW w:w="912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3"/>
        <w:gridCol w:w="7291"/>
      </w:tblGrid>
      <w:tr w:rsidR="00104223" w:rsidRPr="00A35E20" w:rsidTr="000B585E">
        <w:trPr>
          <w:trHeight w:val="683"/>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Title</w:t>
            </w:r>
          </w:p>
        </w:tc>
        <w:tc>
          <w:tcPr>
            <w:tcW w:w="7291"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Designing IT Governance Approach Standard ISO 38500 For Indonesia Higher Education</w:t>
            </w:r>
          </w:p>
        </w:tc>
      </w:tr>
      <w:tr w:rsidR="00104223" w:rsidRPr="00A35E20" w:rsidTr="000B585E">
        <w:trPr>
          <w:trHeight w:val="693"/>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Type</w:t>
            </w:r>
          </w:p>
        </w:tc>
        <w:tc>
          <w:tcPr>
            <w:tcW w:w="7291"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The First International Conference on Law, Business and Government 2013, UBL, Indonesia</w:t>
            </w:r>
          </w:p>
        </w:tc>
      </w:tr>
      <w:tr w:rsidR="00A35E20" w:rsidRPr="00A35E20" w:rsidTr="000B585E">
        <w:trPr>
          <w:trHeight w:val="335"/>
          <w:jc w:val="center"/>
        </w:trPr>
        <w:tc>
          <w:tcPr>
            <w:tcW w:w="1833" w:type="dxa"/>
          </w:tcPr>
          <w:p w:rsidR="00A35E20" w:rsidRPr="00A35E20" w:rsidRDefault="00A35E20" w:rsidP="00A35E20">
            <w:pPr>
              <w:jc w:val="both"/>
              <w:rPr>
                <w:rFonts w:ascii="Times New Roman" w:hAnsi="Times New Roman" w:cs="Times New Roman"/>
                <w:szCs w:val="24"/>
              </w:rPr>
            </w:pPr>
            <w:r>
              <w:rPr>
                <w:rFonts w:ascii="Times New Roman" w:hAnsi="Times New Roman" w:cs="Times New Roman"/>
                <w:szCs w:val="24"/>
              </w:rPr>
              <w:t xml:space="preserve">Year </w:t>
            </w:r>
          </w:p>
        </w:tc>
        <w:tc>
          <w:tcPr>
            <w:tcW w:w="7291" w:type="dxa"/>
          </w:tcPr>
          <w:p w:rsidR="00A35E20" w:rsidRPr="00A35E20" w:rsidRDefault="00A35E20" w:rsidP="00A35E20">
            <w:pPr>
              <w:jc w:val="both"/>
              <w:rPr>
                <w:rFonts w:ascii="Times New Roman" w:hAnsi="Times New Roman" w:cs="Times New Roman"/>
                <w:szCs w:val="24"/>
              </w:rPr>
            </w:pPr>
            <w:r>
              <w:rPr>
                <w:rFonts w:ascii="Times New Roman" w:hAnsi="Times New Roman" w:cs="Times New Roman"/>
                <w:szCs w:val="24"/>
              </w:rPr>
              <w:t>2013</w:t>
            </w:r>
          </w:p>
        </w:tc>
      </w:tr>
      <w:tr w:rsidR="00104223" w:rsidRPr="00A35E20" w:rsidTr="000B585E">
        <w:trPr>
          <w:trHeight w:val="688"/>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Author</w:t>
            </w:r>
          </w:p>
        </w:tc>
        <w:tc>
          <w:tcPr>
            <w:tcW w:w="7291"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Arnes Yuli Vandika, Samsul</w:t>
            </w:r>
            <w:r w:rsidR="00A35E20" w:rsidRPr="00A35E20">
              <w:rPr>
                <w:rFonts w:ascii="Times New Roman" w:hAnsi="Times New Roman" w:cs="Times New Roman"/>
                <w:szCs w:val="24"/>
              </w:rPr>
              <w:t xml:space="preserve"> Arifin, Eka Imama Novita Sari,</w:t>
            </w:r>
            <w:r w:rsidRPr="00A35E20">
              <w:rPr>
                <w:rFonts w:ascii="Times New Roman" w:hAnsi="Times New Roman" w:cs="Times New Roman"/>
                <w:szCs w:val="24"/>
              </w:rPr>
              <w:t xml:space="preserve"> Debi Herlina Meilani</w:t>
            </w:r>
            <w:bookmarkStart w:id="0" w:name="_GoBack"/>
            <w:bookmarkEnd w:id="0"/>
          </w:p>
        </w:tc>
      </w:tr>
      <w:tr w:rsidR="00104223" w:rsidRPr="00A35E20" w:rsidTr="000B585E">
        <w:trPr>
          <w:trHeight w:val="415"/>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Reviewer</w:t>
            </w:r>
          </w:p>
        </w:tc>
        <w:tc>
          <w:tcPr>
            <w:tcW w:w="7291"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 xml:space="preserve">Diba Madya Margerefti, </w:t>
            </w:r>
            <w:r w:rsidRPr="00A35E20">
              <w:rPr>
                <w:rFonts w:ascii="Times New Roman" w:hAnsi="Times New Roman" w:cs="Times New Roman"/>
                <w:b/>
                <w:szCs w:val="24"/>
              </w:rPr>
              <w:t>Rahmaulia</w:t>
            </w:r>
            <w:r w:rsidRPr="00A35E20">
              <w:rPr>
                <w:rFonts w:ascii="Times New Roman" w:hAnsi="Times New Roman" w:cs="Times New Roman"/>
                <w:szCs w:val="24"/>
              </w:rPr>
              <w:t>, Rosita, Seli Puri Andani</w:t>
            </w:r>
          </w:p>
        </w:tc>
      </w:tr>
      <w:tr w:rsidR="00104223" w:rsidRPr="00A35E20" w:rsidTr="000B585E">
        <w:trPr>
          <w:trHeight w:val="392"/>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Date</w:t>
            </w:r>
          </w:p>
        </w:tc>
        <w:tc>
          <w:tcPr>
            <w:tcW w:w="7291"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29 November 2019</w:t>
            </w:r>
          </w:p>
        </w:tc>
      </w:tr>
      <w:tr w:rsidR="00104223" w:rsidRPr="00A35E20" w:rsidTr="000B585E">
        <w:trPr>
          <w:trHeight w:val="1373"/>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Objective(S)</w:t>
            </w:r>
          </w:p>
        </w:tc>
        <w:tc>
          <w:tcPr>
            <w:tcW w:w="7291" w:type="dxa"/>
          </w:tcPr>
          <w:p w:rsidR="00104223" w:rsidRPr="00A35E20" w:rsidRDefault="00104223" w:rsidP="00A35E20">
            <w:pPr>
              <w:jc w:val="both"/>
              <w:rPr>
                <w:rFonts w:ascii="Times New Roman" w:hAnsi="Times New Roman" w:cs="Times New Roman"/>
                <w:szCs w:val="24"/>
              </w:rPr>
            </w:pPr>
            <w:r w:rsidRPr="00A35E20">
              <w:rPr>
                <w:rStyle w:val="tlid-translation"/>
                <w:rFonts w:ascii="Times New Roman" w:hAnsi="Times New Roman" w:cs="Times New Roman"/>
                <w:szCs w:val="24"/>
              </w:rPr>
              <w:t>In this journal discuss about the use of  IT to support operational  activities  of  an  organization  in  both  small  and  large  scale. University  as  an  educational organization  working  to  implement  IT  solutions  to  help  its street  operations  and  serve  customers (students).  ISO  (the  International  Organization  for  Standardization)  and  IEC  (the  International Electrotechnical  Commission)  form  the  specialized  system  for  worldwide  standardization.</w:t>
            </w:r>
          </w:p>
        </w:tc>
      </w:tr>
      <w:tr w:rsidR="00104223" w:rsidRPr="00A35E20" w:rsidTr="000B585E">
        <w:trPr>
          <w:trHeight w:val="1252"/>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Subject</w:t>
            </w:r>
          </w:p>
        </w:tc>
        <w:tc>
          <w:tcPr>
            <w:tcW w:w="7291"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ISO and IEC technical committees collaborate in fields of mutual interest. Other international organizations,  governmental  and  non-governmental, in  liaison  with  ISO  and  IEC,  also  take  part  in the</w:t>
            </w:r>
          </w:p>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work. In the field of information technology, ISO and IEC have established a joint technical committee, ISO/IEC JTC 1.</w:t>
            </w:r>
          </w:p>
        </w:tc>
      </w:tr>
      <w:tr w:rsidR="00104223" w:rsidRPr="00A35E20" w:rsidTr="000B585E">
        <w:trPr>
          <w:trHeight w:val="976"/>
          <w:jc w:val="center"/>
        </w:trPr>
        <w:tc>
          <w:tcPr>
            <w:tcW w:w="1833" w:type="dxa"/>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lastRenderedPageBreak/>
              <w:t>Strength</w:t>
            </w:r>
          </w:p>
        </w:tc>
        <w:tc>
          <w:tcPr>
            <w:tcW w:w="7291" w:type="dxa"/>
          </w:tcPr>
          <w:p w:rsidR="00104223" w:rsidRPr="00A35E20" w:rsidRDefault="00104223" w:rsidP="00A35E20">
            <w:pPr>
              <w:jc w:val="both"/>
              <w:rPr>
                <w:rFonts w:ascii="Times New Roman" w:hAnsi="Times New Roman" w:cs="Times New Roman"/>
                <w:szCs w:val="24"/>
              </w:rPr>
            </w:pPr>
            <w:r w:rsidRPr="00A35E20">
              <w:rPr>
                <w:rStyle w:val="tlid-translation"/>
                <w:rFonts w:ascii="Times New Roman" w:hAnsi="Times New Roman" w:cs="Times New Roman"/>
                <w:szCs w:val="24"/>
              </w:rPr>
              <w:t>In this journal for in order for the education  run  more effectively, each party in a company should be aware of the internal audit function, including functions in achieving good organization governance.</w:t>
            </w:r>
          </w:p>
        </w:tc>
      </w:tr>
    </w:tbl>
    <w:p w:rsidR="00104223" w:rsidRPr="00A35E20" w:rsidRDefault="00104223" w:rsidP="00A35E20">
      <w:pPr>
        <w:jc w:val="both"/>
        <w:rPr>
          <w:rFonts w:ascii="Times New Roman" w:hAnsi="Times New Roman" w:cs="Times New Roman"/>
          <w:szCs w:val="24"/>
        </w:rPr>
      </w:pPr>
    </w:p>
    <w:tbl>
      <w:tblPr>
        <w:tblStyle w:val="TableGrid"/>
        <w:tblW w:w="0" w:type="auto"/>
        <w:tblLook w:val="04A0" w:firstRow="1" w:lastRow="0" w:firstColumn="1" w:lastColumn="0" w:noHBand="0" w:noVBand="1"/>
      </w:tblPr>
      <w:tblGrid>
        <w:gridCol w:w="1696"/>
        <w:gridCol w:w="7320"/>
      </w:tblGrid>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Title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Strategic Management for IT Services on Outsourcing</w:t>
            </w:r>
          </w:p>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Security Company</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Type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 xml:space="preserve">Journal of Information Systems Engineering and Business Intelligence </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Volume &amp; Page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 xml:space="preserve">Volume 4 </w:t>
            </w:r>
            <w:proofErr w:type="spellStart"/>
            <w:r w:rsidRPr="00A35E20">
              <w:rPr>
                <w:rFonts w:ascii="Times New Roman" w:hAnsi="Times New Roman" w:cs="Times New Roman"/>
                <w:szCs w:val="24"/>
                <w:lang w:val="en-US"/>
              </w:rPr>
              <w:t>Nomor</w:t>
            </w:r>
            <w:proofErr w:type="spellEnd"/>
            <w:r w:rsidRPr="00A35E20">
              <w:rPr>
                <w:rFonts w:ascii="Times New Roman" w:hAnsi="Times New Roman" w:cs="Times New Roman"/>
                <w:szCs w:val="24"/>
                <w:lang w:val="en-US"/>
              </w:rPr>
              <w:t xml:space="preserve"> 1, page 46-56</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Year</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2018</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Author</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rPr>
              <w:t>Lydia Wijaya</w:t>
            </w:r>
            <w:r w:rsidRPr="00A35E20">
              <w:rPr>
                <w:rFonts w:ascii="Times New Roman" w:hAnsi="Times New Roman" w:cs="Times New Roman"/>
                <w:szCs w:val="24"/>
                <w:lang w:val="en-US"/>
              </w:rPr>
              <w:t xml:space="preserve">,   </w:t>
            </w:r>
            <w:proofErr w:type="spellStart"/>
            <w:r w:rsidRPr="00A35E20">
              <w:rPr>
                <w:rFonts w:ascii="Times New Roman" w:hAnsi="Times New Roman" w:cs="Times New Roman"/>
                <w:szCs w:val="24"/>
                <w:lang w:val="en-US"/>
              </w:rPr>
              <w:t>Indra</w:t>
            </w:r>
            <w:proofErr w:type="spellEnd"/>
            <w:r w:rsidRPr="00A35E20">
              <w:rPr>
                <w:rFonts w:ascii="Times New Roman" w:hAnsi="Times New Roman" w:cs="Times New Roman"/>
                <w:szCs w:val="24"/>
                <w:lang w:val="en-US"/>
              </w:rPr>
              <w:t xml:space="preserve"> </w:t>
            </w:r>
            <w:proofErr w:type="spellStart"/>
            <w:r w:rsidRPr="00A35E20">
              <w:rPr>
                <w:rFonts w:ascii="Times New Roman" w:hAnsi="Times New Roman" w:cs="Times New Roman"/>
                <w:szCs w:val="24"/>
                <w:lang w:val="en-US"/>
              </w:rPr>
              <w:t>Kharisma</w:t>
            </w:r>
            <w:proofErr w:type="spellEnd"/>
            <w:r w:rsidRPr="00A35E20">
              <w:rPr>
                <w:rFonts w:ascii="Times New Roman" w:hAnsi="Times New Roman" w:cs="Times New Roman"/>
                <w:szCs w:val="24"/>
                <w:lang w:val="en-US"/>
              </w:rPr>
              <w:t xml:space="preserve"> </w:t>
            </w:r>
            <w:proofErr w:type="spellStart"/>
            <w:r w:rsidRPr="00A35E20">
              <w:rPr>
                <w:rFonts w:ascii="Times New Roman" w:hAnsi="Times New Roman" w:cs="Times New Roman"/>
                <w:szCs w:val="24"/>
                <w:lang w:val="en-US"/>
              </w:rPr>
              <w:t>Raharjana</w:t>
            </w:r>
            <w:proofErr w:type="spellEnd"/>
            <w:r w:rsidRPr="00A35E20">
              <w:rPr>
                <w:rFonts w:ascii="Times New Roman" w:hAnsi="Times New Roman" w:cs="Times New Roman"/>
                <w:szCs w:val="24"/>
                <w:lang w:val="en-US"/>
              </w:rPr>
              <w:t xml:space="preserve"> </w:t>
            </w:r>
            <w:proofErr w:type="spellStart"/>
            <w:r w:rsidRPr="00A35E20">
              <w:rPr>
                <w:rFonts w:ascii="Times New Roman" w:hAnsi="Times New Roman" w:cs="Times New Roman"/>
                <w:szCs w:val="24"/>
                <w:lang w:val="en-US"/>
              </w:rPr>
              <w:t>dan</w:t>
            </w:r>
            <w:proofErr w:type="spellEnd"/>
            <w:r w:rsidRPr="00A35E20">
              <w:rPr>
                <w:rFonts w:ascii="Times New Roman" w:hAnsi="Times New Roman" w:cs="Times New Roman"/>
                <w:szCs w:val="24"/>
                <w:lang w:val="en-US"/>
              </w:rPr>
              <w:t xml:space="preserve"> </w:t>
            </w:r>
            <w:proofErr w:type="spellStart"/>
            <w:r w:rsidRPr="00A35E20">
              <w:rPr>
                <w:rFonts w:ascii="Times New Roman" w:hAnsi="Times New Roman" w:cs="Times New Roman"/>
                <w:szCs w:val="24"/>
                <w:lang w:val="en-US"/>
              </w:rPr>
              <w:t>Endah</w:t>
            </w:r>
            <w:proofErr w:type="spellEnd"/>
            <w:r w:rsidRPr="00A35E20">
              <w:rPr>
                <w:rFonts w:ascii="Times New Roman" w:hAnsi="Times New Roman" w:cs="Times New Roman"/>
                <w:szCs w:val="24"/>
                <w:lang w:val="en-US"/>
              </w:rPr>
              <w:t xml:space="preserve"> </w:t>
            </w:r>
            <w:proofErr w:type="spellStart"/>
            <w:r w:rsidRPr="00A35E20">
              <w:rPr>
                <w:rFonts w:ascii="Times New Roman" w:hAnsi="Times New Roman" w:cs="Times New Roman"/>
                <w:szCs w:val="24"/>
                <w:lang w:val="en-US"/>
              </w:rPr>
              <w:t>Purwanti</w:t>
            </w:r>
            <w:proofErr w:type="spellEnd"/>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Reviewer</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 xml:space="preserve">Diba Madya Margerefti, Rahmaulia, </w:t>
            </w:r>
            <w:r w:rsidRPr="00A35E20">
              <w:rPr>
                <w:rFonts w:ascii="Times New Roman" w:hAnsi="Times New Roman" w:cs="Times New Roman"/>
                <w:b/>
                <w:szCs w:val="24"/>
              </w:rPr>
              <w:t>Rosita</w:t>
            </w:r>
            <w:r w:rsidRPr="00A35E20">
              <w:rPr>
                <w:rFonts w:ascii="Times New Roman" w:hAnsi="Times New Roman" w:cs="Times New Roman"/>
                <w:szCs w:val="24"/>
              </w:rPr>
              <w:t>, Seli Puri Andani</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Date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26 November 2019</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Objective(s)</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Most companies in the field of labor supply company especially the security forces still did business process and service manual</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Subject</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rPr>
              <w:t>This study focuses on the problems faced by an Outsourcing Security Company in Surabaya</w:t>
            </w:r>
            <w:r w:rsidRPr="00A35E20">
              <w:rPr>
                <w:rFonts w:ascii="Times New Roman" w:hAnsi="Times New Roman" w:cs="Times New Roman"/>
                <w:szCs w:val="24"/>
                <w:lang w:val="en-US"/>
              </w:rPr>
              <w:t xml:space="preserve"> so that IT service is built in accordance with company goals</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Strength</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In this paper the authors use the ITIL V3 framework which generates a priority order of IT service recommendations in according with the goals of the organization</w:t>
            </w:r>
          </w:p>
        </w:tc>
      </w:tr>
    </w:tbl>
    <w:p w:rsidR="00104223" w:rsidRPr="00A35E20" w:rsidRDefault="00104223" w:rsidP="00A35E20">
      <w:pPr>
        <w:jc w:val="both"/>
        <w:rPr>
          <w:rFonts w:ascii="Times New Roman" w:hAnsi="Times New Roman" w:cs="Times New Roman"/>
          <w:szCs w:val="24"/>
        </w:rPr>
      </w:pPr>
    </w:p>
    <w:tbl>
      <w:tblPr>
        <w:tblStyle w:val="TableGrid"/>
        <w:tblW w:w="0" w:type="auto"/>
        <w:tblLook w:val="04A0" w:firstRow="1" w:lastRow="0" w:firstColumn="1" w:lastColumn="0" w:noHBand="0" w:noVBand="1"/>
      </w:tblPr>
      <w:tblGrid>
        <w:gridCol w:w="1696"/>
        <w:gridCol w:w="7320"/>
      </w:tblGrid>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Title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shd w:val="clear" w:color="auto" w:fill="FFFFFF"/>
              </w:rPr>
              <w:t>ASSESSMENT OF BUSINESS PROCESS MANAGEMENT FOR MSMEs IN EAST JAVA</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Type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 xml:space="preserve">Journal of Information Systems </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Volume &amp; Page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Vol 15 No 1</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Year</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2019</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Author</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proofErr w:type="spellStart"/>
            <w:r w:rsidRPr="00A35E20">
              <w:rPr>
                <w:rFonts w:ascii="Times New Roman" w:hAnsi="Times New Roman" w:cs="Times New Roman"/>
                <w:szCs w:val="24"/>
                <w:lang w:val="en-US"/>
              </w:rPr>
              <w:t>Umi</w:t>
            </w:r>
            <w:proofErr w:type="spellEnd"/>
            <w:r w:rsidRPr="00A35E20">
              <w:rPr>
                <w:rFonts w:ascii="Times New Roman" w:hAnsi="Times New Roman" w:cs="Times New Roman"/>
                <w:szCs w:val="24"/>
                <w:lang w:val="en-US"/>
              </w:rPr>
              <w:t xml:space="preserve"> </w:t>
            </w:r>
            <w:proofErr w:type="spellStart"/>
            <w:r w:rsidRPr="00A35E20">
              <w:rPr>
                <w:rFonts w:ascii="Times New Roman" w:hAnsi="Times New Roman" w:cs="Times New Roman"/>
                <w:szCs w:val="24"/>
                <w:lang w:val="en-US"/>
              </w:rPr>
              <w:t>Chotijah</w:t>
            </w:r>
            <w:proofErr w:type="spellEnd"/>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Reviewer</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 xml:space="preserve">Diba Madya Margerefti, Rahmaulia, Rosita, </w:t>
            </w:r>
            <w:r w:rsidRPr="00A35E20">
              <w:rPr>
                <w:rFonts w:ascii="Times New Roman" w:hAnsi="Times New Roman" w:cs="Times New Roman"/>
                <w:b/>
                <w:szCs w:val="24"/>
              </w:rPr>
              <w:t>Seli Puri Andani</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Date</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2</w:t>
            </w:r>
            <w:r w:rsidRPr="00A35E20">
              <w:rPr>
                <w:rFonts w:ascii="Times New Roman" w:hAnsi="Times New Roman" w:cs="Times New Roman"/>
                <w:szCs w:val="24"/>
                <w:lang w:val="en-US"/>
              </w:rPr>
              <w:t>8</w:t>
            </w:r>
            <w:r w:rsidRPr="00A35E20">
              <w:rPr>
                <w:rFonts w:ascii="Times New Roman" w:hAnsi="Times New Roman" w:cs="Times New Roman"/>
                <w:szCs w:val="24"/>
              </w:rPr>
              <w:t xml:space="preserve"> November 2019</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Objective(s)</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The company needs understanding, documenting, modeling, analyzing,</w:t>
            </w:r>
          </w:p>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simulating, and implementing in order to increase value and achieve operational efficiency and</w:t>
            </w:r>
          </w:p>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survive business competition.</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Subject</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This study uses descriptive analysis</w:t>
            </w:r>
          </w:p>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techniques to analyze data by explaining or</w:t>
            </w:r>
          </w:p>
          <w:p w:rsidR="00104223" w:rsidRPr="00A35E20" w:rsidRDefault="00104223" w:rsidP="00A35E20">
            <w:pPr>
              <w:jc w:val="both"/>
              <w:rPr>
                <w:rFonts w:ascii="Times New Roman" w:hAnsi="Times New Roman" w:cs="Times New Roman"/>
                <w:szCs w:val="24"/>
                <w:lang w:val="en-US"/>
              </w:rPr>
            </w:pPr>
            <w:proofErr w:type="gramStart"/>
            <w:r w:rsidRPr="00A35E20">
              <w:rPr>
                <w:rFonts w:ascii="Times New Roman" w:hAnsi="Times New Roman" w:cs="Times New Roman"/>
                <w:szCs w:val="24"/>
                <w:lang w:val="en-US"/>
              </w:rPr>
              <w:t>describing</w:t>
            </w:r>
            <w:proofErr w:type="gramEnd"/>
            <w:r w:rsidRPr="00A35E20">
              <w:rPr>
                <w:rFonts w:ascii="Times New Roman" w:hAnsi="Times New Roman" w:cs="Times New Roman"/>
                <w:szCs w:val="24"/>
                <w:lang w:val="en-US"/>
              </w:rPr>
              <w:t xml:space="preserve"> the data that has been collected.</w:t>
            </w:r>
          </w:p>
        </w:tc>
      </w:tr>
      <w:tr w:rsidR="00104223" w:rsidRPr="00A35E20" w:rsidTr="000B585E">
        <w:tc>
          <w:tcPr>
            <w:tcW w:w="1696"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rPr>
            </w:pPr>
            <w:r w:rsidRPr="00A35E20">
              <w:rPr>
                <w:rFonts w:ascii="Times New Roman" w:hAnsi="Times New Roman" w:cs="Times New Roman"/>
                <w:szCs w:val="24"/>
              </w:rPr>
              <w:t>Strength</w:t>
            </w:r>
          </w:p>
        </w:tc>
        <w:tc>
          <w:tcPr>
            <w:tcW w:w="7320" w:type="dxa"/>
            <w:tcBorders>
              <w:top w:val="single" w:sz="4" w:space="0" w:color="auto"/>
              <w:left w:val="single" w:sz="4" w:space="0" w:color="auto"/>
              <w:bottom w:val="single" w:sz="4" w:space="0" w:color="auto"/>
              <w:right w:val="single" w:sz="4" w:space="0" w:color="auto"/>
            </w:tcBorders>
            <w:hideMark/>
          </w:tcPr>
          <w:p w:rsidR="00104223" w:rsidRPr="00A35E20" w:rsidRDefault="00104223" w:rsidP="00A35E20">
            <w:pPr>
              <w:jc w:val="both"/>
              <w:rPr>
                <w:rFonts w:ascii="Times New Roman" w:hAnsi="Times New Roman" w:cs="Times New Roman"/>
                <w:szCs w:val="24"/>
                <w:lang w:val="en-US"/>
              </w:rPr>
            </w:pPr>
            <w:r w:rsidRPr="00A35E20">
              <w:rPr>
                <w:rFonts w:ascii="Times New Roman" w:hAnsi="Times New Roman" w:cs="Times New Roman"/>
                <w:szCs w:val="24"/>
                <w:lang w:val="en-US"/>
              </w:rPr>
              <w:t>Process performance dimensions</w:t>
            </w:r>
          </w:p>
          <w:p w:rsidR="00104223" w:rsidRPr="00A35E20" w:rsidRDefault="00104223" w:rsidP="00A35E20">
            <w:pPr>
              <w:jc w:val="both"/>
              <w:rPr>
                <w:rFonts w:ascii="Times New Roman" w:hAnsi="Times New Roman" w:cs="Times New Roman"/>
                <w:szCs w:val="24"/>
                <w:lang w:val="en-US"/>
              </w:rPr>
            </w:pPr>
            <w:proofErr w:type="gramStart"/>
            <w:r w:rsidRPr="00A35E20">
              <w:rPr>
                <w:rFonts w:ascii="Times New Roman" w:hAnsi="Times New Roman" w:cs="Times New Roman"/>
                <w:szCs w:val="24"/>
                <w:lang w:val="en-US"/>
              </w:rPr>
              <w:t>the</w:t>
            </w:r>
            <w:proofErr w:type="gramEnd"/>
            <w:r w:rsidRPr="00A35E20">
              <w:rPr>
                <w:rFonts w:ascii="Times New Roman" w:hAnsi="Times New Roman" w:cs="Times New Roman"/>
                <w:szCs w:val="24"/>
                <w:lang w:val="en-US"/>
              </w:rPr>
              <w:t xml:space="preserve"> assessment of each case is shown in the case of data collection in the Company that requires the It Security Method that secures all data that has been inputted.</w:t>
            </w:r>
          </w:p>
        </w:tc>
      </w:tr>
    </w:tbl>
    <w:p w:rsidR="00104223" w:rsidRPr="00A35E20" w:rsidRDefault="00104223" w:rsidP="00A35E20">
      <w:pPr>
        <w:jc w:val="both"/>
        <w:rPr>
          <w:rFonts w:ascii="Times New Roman" w:hAnsi="Times New Roman" w:cs="Times New Roman"/>
          <w:szCs w:val="24"/>
        </w:rPr>
      </w:pPr>
    </w:p>
    <w:sectPr w:rsidR="00104223" w:rsidRPr="00A35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A1"/>
    <w:rsid w:val="00002D68"/>
    <w:rsid w:val="000B585E"/>
    <w:rsid w:val="00104223"/>
    <w:rsid w:val="003F051B"/>
    <w:rsid w:val="00A35E20"/>
    <w:rsid w:val="00B040C6"/>
    <w:rsid w:val="00B45A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062"/>
  <w15:chartTrackingRefBased/>
  <w15:docId w15:val="{DCEB9ADD-EEB9-4B81-89C0-90F66D54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104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602779">
      <w:bodyDiv w:val="1"/>
      <w:marLeft w:val="0"/>
      <w:marRight w:val="0"/>
      <w:marTop w:val="0"/>
      <w:marBottom w:val="0"/>
      <w:divBdr>
        <w:top w:val="none" w:sz="0" w:space="0" w:color="auto"/>
        <w:left w:val="none" w:sz="0" w:space="0" w:color="auto"/>
        <w:bottom w:val="none" w:sz="0" w:space="0" w:color="auto"/>
        <w:right w:val="none" w:sz="0" w:space="0" w:color="auto"/>
      </w:divBdr>
    </w:div>
    <w:div w:id="20600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dIb4</dc:creator>
  <cp:keywords/>
  <dc:description/>
  <cp:lastModifiedBy>dIb4</cp:lastModifiedBy>
  <cp:revision>2</cp:revision>
  <dcterms:created xsi:type="dcterms:W3CDTF">2019-11-29T09:28:00Z</dcterms:created>
  <dcterms:modified xsi:type="dcterms:W3CDTF">2019-11-29T09:28:00Z</dcterms:modified>
</cp:coreProperties>
</file>