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The author states (Smith 15) that...</w:t>
      </w:r>
    </w:p>
    <w:p>
      <w:r>
        <w:t>Multiple pages (Smith 15-20) show...</w:t>
      </w:r>
    </w:p>
    <w:p>
      <w:r>
        <w:t>Two works by same author exist. First (Smith, Novel 15) and second (Smith, Essay 30).</w:t>
      </w:r>
    </w:p>
    <w:p>
      <w:r>
        <w:t>Ambiguous citation (Smith 42) could be either.</w:t>
      </w:r>
    </w:p>
    <w:p>
      <w:pPr>
        <w:pStyle w:val="Heading1"/>
      </w:pPr>
      <w:r>
        <w:t>Works Cited</w:t>
      </w:r>
    </w:p>
    <w:p>
      <w:r>
        <w:t>Smith, John. Novel Title. Publisher, 2019.</w:t>
      </w:r>
    </w:p>
    <w:p>
      <w:r>
        <w:t>Smith, John. Essay Title. Publisher,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