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Introduction</w:t>
      </w:r>
    </w:p>
    <w:p>
      <w:r>
        <w:t>According to (Smith, 2019), the results were promising.</w:t>
      </w:r>
    </w:p>
    <w:p>
      <w:r>
        <w:t>However, (Brown, 2021) disagreed with these findings.</w:t>
      </w:r>
    </w:p>
    <w:p>
      <w:r>
        <w:t>The work of (Wilson, 2018) also contradicts the original study.</w:t>
      </w:r>
    </w:p>
    <w:p>
      <w:pPr>
        <w:pStyle w:val="Heading1"/>
      </w:pPr>
      <w:r>
        <w:t>References</w:t>
      </w:r>
    </w:p>
    <w:p>
      <w:r>
        <w:t>Smith, J. (2019). Title. Journal.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