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Clarity in Charity:</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Classification and Prediction Analysis to Improve</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A Charity’s Direct Marketing Campaign</w:t>
      </w:r>
    </w:p>
    <w:p w:rsidR="00000000" w:rsidDel="00000000" w:rsidP="00000000" w:rsidRDefault="00000000" w:rsidRPr="00000000" w14:paraId="00000008">
      <w:pPr>
        <w:jc w:val="center"/>
        <w:rPr/>
      </w:pPr>
      <w:r w:rsidDel="00000000" w:rsidR="00000000" w:rsidRPr="00000000">
        <w:rPr>
          <w:sz w:val="28"/>
          <w:szCs w:val="28"/>
          <w:rtl w:val="0"/>
        </w:rPr>
        <w:t xml:space="preserve">By Ross Walendziak &amp; Sam Neil</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Style w:val="Heading2"/>
            <w:spacing w:before="80" w:line="240" w:lineRule="auto"/>
            <w:rPr/>
          </w:pPr>
          <w:bookmarkStart w:colFirst="0" w:colLast="0" w:name="_r36m15trua8k" w:id="0"/>
          <w:bookmarkEnd w:id="0"/>
          <w:r w:rsidDel="00000000" w:rsidR="00000000" w:rsidRPr="00000000">
            <w:fldChar w:fldCharType="begin"/>
            <w:instrText xml:space="preserve"> TOC \h \u \z \n </w:instrText>
            <w:fldChar w:fldCharType="separate"/>
          </w:r>
          <w:r w:rsidDel="00000000" w:rsidR="00000000" w:rsidRPr="00000000">
            <w:rPr>
              <w:rtl w:val="0"/>
            </w:rPr>
            <w:t xml:space="preserve">Table of Contents</w:t>
          </w:r>
        </w:p>
        <w:p w:rsidR="00000000" w:rsidDel="00000000" w:rsidP="00000000" w:rsidRDefault="00000000" w:rsidRPr="00000000" w14:paraId="0000001E">
          <w:pPr>
            <w:spacing w:before="80" w:line="240" w:lineRule="auto"/>
            <w:ind w:left="0" w:firstLine="0"/>
            <w:rPr>
              <w:color w:val="1155cc"/>
              <w:u w:val="single"/>
            </w:rPr>
          </w:pPr>
          <w:hyperlink w:anchor="_edvqfecyackv">
            <w:r w:rsidDel="00000000" w:rsidR="00000000" w:rsidRPr="00000000">
              <w:rPr>
                <w:color w:val="1155cc"/>
                <w:u w:val="single"/>
                <w:rtl w:val="0"/>
              </w:rPr>
              <w:t xml:space="preserve">Data Exploration</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wnmo12f12dgl">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sb6c9mszo77k">
            <w:r w:rsidDel="00000000" w:rsidR="00000000" w:rsidRPr="00000000">
              <w:rPr>
                <w:color w:val="1155cc"/>
                <w:u w:val="single"/>
                <w:rtl w:val="0"/>
              </w:rPr>
              <w:t xml:space="preserve">Dependent Variables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n9j99aggzpen">
            <w:r w:rsidDel="00000000" w:rsidR="00000000" w:rsidRPr="00000000">
              <w:rPr>
                <w:color w:val="1155cc"/>
                <w:u w:val="single"/>
                <w:rtl w:val="0"/>
              </w:rPr>
              <w:t xml:space="preserve">Neighborhood Predictors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vnpzqigijj5e">
            <w:r w:rsidDel="00000000" w:rsidR="00000000" w:rsidRPr="00000000">
              <w:rPr>
                <w:color w:val="1155cc"/>
                <w:u w:val="single"/>
                <w:rtl w:val="0"/>
              </w:rPr>
              <w:t xml:space="preserve">Donor Variables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1c3tjfn4v033">
            <w:r w:rsidDel="00000000" w:rsidR="00000000" w:rsidRPr="00000000">
              <w:rPr>
                <w:color w:val="1155cc"/>
                <w:u w:val="single"/>
                <w:rtl w:val="0"/>
              </w:rPr>
              <w:t xml:space="preserve">Prior Gift Variables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syc4peyxqkgo">
            <w:r w:rsidDel="00000000" w:rsidR="00000000" w:rsidRPr="00000000">
              <w:rPr>
                <w:color w:val="1155cc"/>
                <w:u w:val="single"/>
                <w:rtl w:val="0"/>
              </w:rPr>
              <w:t xml:space="preserve">General Trends in Predictors</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color w:val="1155cc"/>
              <w:u w:val="single"/>
            </w:rPr>
          </w:pPr>
          <w:hyperlink w:anchor="_pc5vt8roy2op">
            <w:r w:rsidDel="00000000" w:rsidR="00000000" w:rsidRPr="00000000">
              <w:rPr>
                <w:color w:val="1155cc"/>
                <w:u w:val="single"/>
                <w:rtl w:val="0"/>
              </w:rPr>
              <w:t xml:space="preserve">Data Preparation</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ukyp308vfruv">
            <w:r w:rsidDel="00000000" w:rsidR="00000000" w:rsidRPr="00000000">
              <w:rPr>
                <w:color w:val="1155cc"/>
                <w:u w:val="single"/>
                <w:rtl w:val="0"/>
              </w:rPr>
              <w:t xml:space="preserve">Classification Models</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v9fud5oevun8">
            <w:r w:rsidDel="00000000" w:rsidR="00000000" w:rsidRPr="00000000">
              <w:rPr>
                <w:color w:val="1155cc"/>
                <w:u w:val="single"/>
                <w:rtl w:val="0"/>
              </w:rPr>
              <w:t xml:space="preserve">Prediction Models</w:t>
            </w:r>
          </w:hyperlink>
          <w:r w:rsidDel="00000000" w:rsidR="00000000" w:rsidRPr="00000000">
            <w:rPr>
              <w:rtl w:val="0"/>
            </w:rPr>
          </w:r>
        </w:p>
        <w:p w:rsidR="00000000" w:rsidDel="00000000" w:rsidP="00000000" w:rsidRDefault="00000000" w:rsidRPr="00000000" w14:paraId="00000028">
          <w:pPr>
            <w:spacing w:after="80" w:before="200" w:line="240" w:lineRule="auto"/>
            <w:ind w:left="0" w:firstLine="0"/>
            <w:rPr>
              <w:color w:val="1155cc"/>
              <w:u w:val="single"/>
            </w:rPr>
          </w:pPr>
          <w:hyperlink w:anchor="_pjvvi8twwo8f">
            <w:r w:rsidDel="00000000" w:rsidR="00000000" w:rsidRPr="00000000">
              <w:rPr>
                <w:color w:val="1155cc"/>
                <w:u w:val="single"/>
                <w:rtl w:val="0"/>
              </w:rPr>
              <w:t xml:space="preserve">Results &amp;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pStyle w:val="Heading3"/>
        <w:spacing w:line="240" w:lineRule="auto"/>
        <w:rPr/>
      </w:pPr>
      <w:bookmarkStart w:colFirst="0" w:colLast="0" w:name="_4lb2bidk3ka7" w:id="1"/>
      <w:bookmarkEnd w:id="1"/>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spacing w:line="240" w:lineRule="auto"/>
        <w:rPr/>
      </w:pPr>
      <w:bookmarkStart w:colFirst="0" w:colLast="0" w:name="_fhuiczm2oc8p" w:id="2"/>
      <w:bookmarkEnd w:id="2"/>
      <w:r w:rsidDel="00000000" w:rsidR="00000000" w:rsidRPr="00000000">
        <w:rPr>
          <w:rtl w:val="0"/>
        </w:rPr>
        <w:t xml:space="preserve">Data Exploration</w:t>
      </w:r>
    </w:p>
    <w:p w:rsidR="00000000" w:rsidDel="00000000" w:rsidP="00000000" w:rsidRDefault="00000000" w:rsidRPr="00000000" w14:paraId="0000003E">
      <w:pPr>
        <w:pStyle w:val="Heading4"/>
        <w:spacing w:line="240" w:lineRule="auto"/>
        <w:rPr/>
      </w:pPr>
      <w:bookmarkStart w:colFirst="0" w:colLast="0" w:name="_wnmo12f12dgl" w:id="3"/>
      <w:bookmarkEnd w:id="3"/>
      <w:r w:rsidDel="00000000" w:rsidR="00000000" w:rsidRPr="00000000">
        <w:rPr>
          <w:rtl w:val="0"/>
        </w:rPr>
        <w:t xml:space="preserve">Introduction</w:t>
      </w:r>
    </w:p>
    <w:p w:rsidR="00000000" w:rsidDel="00000000" w:rsidP="00000000" w:rsidRDefault="00000000" w:rsidRPr="00000000" w14:paraId="0000003F">
      <w:pPr>
        <w:spacing w:line="240" w:lineRule="auto"/>
        <w:rPr>
          <w:i w:val="1"/>
        </w:rPr>
      </w:pPr>
      <w:r w:rsidDel="00000000" w:rsidR="00000000" w:rsidRPr="00000000">
        <w:rPr>
          <w:rtl w:val="0"/>
        </w:rPr>
        <w:tab/>
        <w:t xml:space="preserve">Mailing drives are a vital avenue for charities to generate revenue. The issue with mailing drives is that each mailing costs a fixed amount of money regardless of the applicant’s response. A charity can quickly lose money on mailing drives if they do not focus their campaign on individuals that are more likely to donate. This report will cover various classification models and predictor models to predict if an individual will donate, and if so, how much they would donate. These models are based on a charity’s dataset of 8009 potential donors across 22 variables. This generates 176,198 unique data points. 3,984 of the observations are in the training dataset, 2,018 in the validation dataset, and 2,007 in the test dataset. These variables can be broken up into several broad categories to provide unique insights into the data. It is vital to note that there is no missing data in this dataset besides the test values for DONR and DAMT, which are set to “NA”.</w:t>
      </w:r>
      <w:r w:rsidDel="00000000" w:rsidR="00000000" w:rsidRPr="00000000">
        <w:rPr>
          <w:rtl w:val="0"/>
        </w:rPr>
      </w:r>
    </w:p>
    <w:p w:rsidR="00000000" w:rsidDel="00000000" w:rsidP="00000000" w:rsidRDefault="00000000" w:rsidRPr="00000000" w14:paraId="00000040">
      <w:pPr>
        <w:pStyle w:val="Heading4"/>
        <w:spacing w:line="240" w:lineRule="auto"/>
        <w:rPr/>
      </w:pPr>
      <w:bookmarkStart w:colFirst="0" w:colLast="0" w:name="_sb6c9mszo77k" w:id="4"/>
      <w:bookmarkEnd w:id="4"/>
      <w:r w:rsidDel="00000000" w:rsidR="00000000" w:rsidRPr="00000000">
        <w:rPr>
          <w:rtl w:val="0"/>
        </w:rPr>
        <w:t xml:space="preserve">Dependent Variables</w:t>
      </w:r>
    </w:p>
    <w:p w:rsidR="00000000" w:rsidDel="00000000" w:rsidP="00000000" w:rsidRDefault="00000000" w:rsidRPr="00000000" w14:paraId="00000041">
      <w:pPr>
        <w:spacing w:line="240" w:lineRule="auto"/>
        <w:rPr/>
      </w:pPr>
      <w:r w:rsidDel="00000000" w:rsidR="00000000" w:rsidRPr="00000000">
        <w:rPr>
          <w:rtl w:val="0"/>
        </w:rPr>
        <w:tab/>
        <w:t xml:space="preserve">While there are 22 variables, the first variable is simply the ID number of the potential donor and will not be used in the model. There are two dependent variables for this dataset. DONR will be used as the classification response variable 1 = Donor and 0 = Non-donor. DAMT will be used as the prediction response variable and is the donation amount in dollars. The information for these variables is summarized in the table below:</w:t>
      </w:r>
    </w:p>
    <w:p w:rsidR="00000000" w:rsidDel="00000000" w:rsidP="00000000" w:rsidRDefault="00000000" w:rsidRPr="00000000" w14:paraId="00000042">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DONR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DAMT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1st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0.4988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$7.209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3rd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$14</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$7.36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2007</w:t>
            </w:r>
          </w:p>
        </w:tc>
      </w:tr>
    </w:tbl>
    <w:p w:rsidR="00000000" w:rsidDel="00000000" w:rsidP="00000000" w:rsidRDefault="00000000" w:rsidRPr="00000000" w14:paraId="0000005E">
      <w:pPr>
        <w:spacing w:line="240" w:lineRule="auto"/>
        <w:rPr/>
      </w:pPr>
      <w:r w:rsidDel="00000000" w:rsidR="00000000" w:rsidRPr="00000000">
        <w:rPr>
          <w:rtl w:val="0"/>
        </w:rPr>
        <w:t xml:space="preserve">It is important to note that there is no information for these values in the test dataset as they are what the classification and prediction models will predict. The remaining variables will be grouped by their general purpose for ease of reading.</w:t>
      </w:r>
    </w:p>
    <w:p w:rsidR="00000000" w:rsidDel="00000000" w:rsidP="00000000" w:rsidRDefault="00000000" w:rsidRPr="00000000" w14:paraId="0000005F">
      <w:pPr>
        <w:spacing w:line="240" w:lineRule="auto"/>
        <w:rPr>
          <w:i w:val="1"/>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pStyle w:val="Heading4"/>
        <w:spacing w:line="240" w:lineRule="auto"/>
        <w:rPr/>
      </w:pPr>
      <w:bookmarkStart w:colFirst="0" w:colLast="0" w:name="_n9j99aggzpen" w:id="5"/>
      <w:bookmarkEnd w:id="5"/>
      <w:r w:rsidDel="00000000" w:rsidR="00000000" w:rsidRPr="00000000">
        <w:rPr>
          <w:rtl w:val="0"/>
        </w:rPr>
        <w:t xml:space="preserve">Neighborhood Predictors</w:t>
      </w:r>
    </w:p>
    <w:p w:rsidR="00000000" w:rsidDel="00000000" w:rsidP="00000000" w:rsidRDefault="00000000" w:rsidRPr="00000000" w14:paraId="00000062">
      <w:pPr>
        <w:spacing w:line="240" w:lineRule="auto"/>
        <w:rPr/>
      </w:pPr>
      <w:r w:rsidDel="00000000" w:rsidR="00000000" w:rsidRPr="00000000">
        <w:rPr>
          <w:rtl w:val="0"/>
        </w:rPr>
        <w:tab/>
        <w:t xml:space="preserve">This section will focus on variables related to the neighborhood that the potential donor is from. This will include the following variables: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i w:val="1"/>
                <w:rtl w:val="0"/>
              </w:rPr>
              <w:t xml:space="preserve">Region (There are five geographic regions; only four are needed for analysis since if a potential donor falls into none of the four, he or she must be in the other region. The inclusion of all five indicator variables would be redundant and cause some modeling techniques to fail. A “1” indicates the potential donor belongs to this region.)</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AVHV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i w:val="1"/>
                <w:rtl w:val="0"/>
              </w:rPr>
              <w:t xml:space="preserve">Average Home Value in potential donor's neighborhood in $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i w:val="1"/>
                <w:rtl w:val="0"/>
              </w:rPr>
              <w:t xml:space="preserve">Median Family Income in potential donor's neighborhood in $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i w:val="1"/>
                <w:rtl w:val="0"/>
              </w:rPr>
              <w:t xml:space="preserve">Average Family Income in potential donor's neighborhood in $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i w:val="1"/>
                <w:rtl w:val="0"/>
              </w:rPr>
              <w:t xml:space="preserve">Percent categorized as “low income” in potential donor's neighborhood</w:t>
            </w:r>
            <w:r w:rsidDel="00000000" w:rsidR="00000000" w:rsidRPr="00000000">
              <w:rPr>
                <w:rtl w:val="0"/>
              </w:rPr>
            </w:r>
          </w:p>
        </w:tc>
      </w:tr>
    </w:tbl>
    <w:p w:rsidR="00000000" w:rsidDel="00000000" w:rsidP="00000000" w:rsidRDefault="00000000" w:rsidRPr="00000000" w14:paraId="00000073">
      <w:pPr>
        <w:spacing w:line="240" w:lineRule="auto"/>
        <w:rPr>
          <w:i w:val="1"/>
        </w:rPr>
      </w:pPr>
      <w:r w:rsidDel="00000000" w:rsidR="00000000" w:rsidRPr="00000000">
        <w:rPr>
          <w:rtl w:val="0"/>
        </w:rPr>
        <w:t xml:space="preserve">The summaries of these categories for the training data are described in the table below:</w:t>
      </w:r>
      <w:r w:rsidDel="00000000" w:rsidR="00000000" w:rsidRPr="00000000">
        <w:rPr>
          <w:rtl w:val="0"/>
        </w:rPr>
      </w:r>
    </w:p>
    <w:tbl>
      <w:tblPr>
        <w:tblStyle w:val="Table3"/>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900"/>
        <w:gridCol w:w="855"/>
        <w:gridCol w:w="975"/>
        <w:gridCol w:w="900"/>
        <w:gridCol w:w="915"/>
        <w:gridCol w:w="765"/>
        <w:gridCol w:w="1080"/>
        <w:tblGridChange w:id="0">
          <w:tblGrid>
            <w:gridCol w:w="765"/>
            <w:gridCol w:w="900"/>
            <w:gridCol w:w="855"/>
            <w:gridCol w:w="975"/>
            <w:gridCol w:w="900"/>
            <w:gridCol w:w="915"/>
            <w:gridCol w:w="765"/>
            <w:gridCol w:w="108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4">
            <w:pPr>
              <w:spacing w:before="240" w:line="276" w:lineRule="auto"/>
              <w:rPr>
                <w:i w:val="1"/>
              </w:rPr>
            </w:pPr>
            <w:r w:rsidDel="00000000" w:rsidR="00000000" w:rsidRPr="00000000">
              <w:rPr>
                <w:i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5">
            <w:pPr>
              <w:spacing w:before="240" w:line="276" w:lineRule="auto"/>
              <w:rPr>
                <w:i w:val="1"/>
              </w:rPr>
            </w:pPr>
            <w:r w:rsidDel="00000000" w:rsidR="00000000" w:rsidRPr="00000000">
              <w:rPr>
                <w:i w:val="1"/>
                <w:rtl w:val="0"/>
              </w:rPr>
              <w:t xml:space="preserve">Min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6">
            <w:pPr>
              <w:spacing w:before="240" w:line="276" w:lineRule="auto"/>
              <w:rPr>
                <w:i w:val="1"/>
              </w:rPr>
            </w:pPr>
            <w:r w:rsidDel="00000000" w:rsidR="00000000" w:rsidRPr="00000000">
              <w:rPr>
                <w:i w:val="1"/>
                <w:rtl w:val="0"/>
              </w:rPr>
              <w:t xml:space="preserve">1st Qu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7">
            <w:pPr>
              <w:spacing w:before="240" w:line="276" w:lineRule="auto"/>
              <w:rPr>
                <w:i w:val="1"/>
              </w:rPr>
            </w:pPr>
            <w:r w:rsidDel="00000000" w:rsidR="00000000" w:rsidRPr="00000000">
              <w:rPr>
                <w:i w:val="1"/>
                <w:rtl w:val="0"/>
              </w:rPr>
              <w:t xml:space="preserve">Median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8">
            <w:pPr>
              <w:spacing w:before="240" w:line="276" w:lineRule="auto"/>
              <w:rPr>
                <w:i w:val="1"/>
              </w:rPr>
            </w:pPr>
            <w:r w:rsidDel="00000000" w:rsidR="00000000" w:rsidRPr="00000000">
              <w:rPr>
                <w:i w:val="1"/>
                <w:rtl w:val="0"/>
              </w:rPr>
              <w:t xml:space="preserve">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9">
            <w:pPr>
              <w:spacing w:before="240" w:line="276" w:lineRule="auto"/>
              <w:rPr>
                <w:i w:val="1"/>
              </w:rPr>
            </w:pPr>
            <w:r w:rsidDel="00000000" w:rsidR="00000000" w:rsidRPr="00000000">
              <w:rPr>
                <w:i w:val="1"/>
                <w:rtl w:val="0"/>
              </w:rPr>
              <w:t xml:space="preserve">3rd Qu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A">
            <w:pPr>
              <w:spacing w:before="240" w:line="276" w:lineRule="auto"/>
              <w:rPr>
                <w:i w:val="1"/>
              </w:rPr>
            </w:pPr>
            <w:r w:rsidDel="00000000" w:rsidR="00000000" w:rsidRPr="00000000">
              <w:rPr>
                <w:i w:val="1"/>
                <w:rtl w:val="0"/>
              </w:rPr>
              <w:t xml:space="preserve">Max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B">
            <w:pPr>
              <w:spacing w:before="240" w:line="276" w:lineRule="auto"/>
              <w:rPr>
                <w:i w:val="1"/>
              </w:rPr>
            </w:pPr>
            <w:r w:rsidDel="00000000" w:rsidR="00000000" w:rsidRPr="00000000">
              <w:rPr>
                <w:i w:val="1"/>
                <w:rtl w:val="0"/>
              </w:rPr>
              <w:t xml:space="preserve">SD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C">
            <w:pPr>
              <w:spacing w:before="240" w:line="276" w:lineRule="auto"/>
              <w:rPr>
                <w:i w:val="1"/>
              </w:rPr>
            </w:pPr>
            <w:r w:rsidDel="00000000" w:rsidR="00000000" w:rsidRPr="00000000">
              <w:rPr>
                <w:i w:val="1"/>
                <w:rtl w:val="0"/>
              </w:rPr>
              <w:t xml:space="preserve">reg1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D">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E">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F">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0">
            <w:pPr>
              <w:spacing w:before="240" w:line="276" w:lineRule="auto"/>
              <w:jc w:val="right"/>
              <w:rPr>
                <w:i w:val="1"/>
              </w:rPr>
            </w:pPr>
            <w:r w:rsidDel="00000000" w:rsidR="00000000" w:rsidRPr="00000000">
              <w:rPr>
                <w:i w:val="1"/>
                <w:rtl w:val="0"/>
              </w:rPr>
              <w:t xml:space="preserve">0.2048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1">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2">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3">
            <w:pPr>
              <w:spacing w:before="240" w:line="276" w:lineRule="auto"/>
              <w:jc w:val="right"/>
              <w:rPr>
                <w:i w:val="1"/>
              </w:rPr>
            </w:pPr>
            <w:r w:rsidDel="00000000" w:rsidR="00000000" w:rsidRPr="00000000">
              <w:rPr>
                <w:i w:val="1"/>
                <w:rtl w:val="0"/>
              </w:rPr>
              <w:t xml:space="preserve">0.4058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4">
            <w:pPr>
              <w:spacing w:before="240" w:line="276" w:lineRule="auto"/>
              <w:rPr>
                <w:i w:val="1"/>
              </w:rPr>
            </w:pPr>
            <w:r w:rsidDel="00000000" w:rsidR="00000000" w:rsidRPr="00000000">
              <w:rPr>
                <w:i w:val="1"/>
                <w:rtl w:val="0"/>
              </w:rPr>
              <w:t xml:space="preserve">reg2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5">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6">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7">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8">
            <w:pPr>
              <w:spacing w:before="240" w:line="276" w:lineRule="auto"/>
              <w:jc w:val="right"/>
              <w:rPr>
                <w:i w:val="1"/>
              </w:rPr>
            </w:pPr>
            <w:r w:rsidDel="00000000" w:rsidR="00000000" w:rsidRPr="00000000">
              <w:rPr>
                <w:i w:val="1"/>
                <w:rtl w:val="0"/>
              </w:rPr>
              <w:t xml:space="preserve">0.3361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9">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A">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B">
            <w:pPr>
              <w:spacing w:before="240" w:line="276" w:lineRule="auto"/>
              <w:jc w:val="right"/>
              <w:rPr>
                <w:i w:val="1"/>
              </w:rPr>
            </w:pPr>
            <w:r w:rsidDel="00000000" w:rsidR="00000000" w:rsidRPr="00000000">
              <w:rPr>
                <w:i w:val="1"/>
                <w:rtl w:val="0"/>
              </w:rPr>
              <w:t xml:space="preserve">0.4720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C">
            <w:pPr>
              <w:spacing w:before="240" w:line="276" w:lineRule="auto"/>
              <w:rPr>
                <w:i w:val="1"/>
              </w:rPr>
            </w:pPr>
            <w:r w:rsidDel="00000000" w:rsidR="00000000" w:rsidRPr="00000000">
              <w:rPr>
                <w:i w:val="1"/>
                <w:rtl w:val="0"/>
              </w:rPr>
              <w:t xml:space="preserve">reg3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D">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E">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F">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0">
            <w:pPr>
              <w:spacing w:before="240" w:line="276" w:lineRule="auto"/>
              <w:jc w:val="right"/>
              <w:rPr>
                <w:i w:val="1"/>
              </w:rPr>
            </w:pPr>
            <w:r w:rsidDel="00000000" w:rsidR="00000000" w:rsidRPr="00000000">
              <w:rPr>
                <w:i w:val="1"/>
                <w:rtl w:val="0"/>
              </w:rPr>
              <w:t xml:space="preserve">0.1235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1">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2">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3">
            <w:pPr>
              <w:spacing w:before="240" w:line="276" w:lineRule="auto"/>
              <w:jc w:val="right"/>
              <w:rPr>
                <w:i w:val="1"/>
              </w:rPr>
            </w:pPr>
            <w:r w:rsidDel="00000000" w:rsidR="00000000" w:rsidRPr="00000000">
              <w:rPr>
                <w:i w:val="1"/>
                <w:rtl w:val="0"/>
              </w:rPr>
              <w:t xml:space="preserve">0.3304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4">
            <w:pPr>
              <w:spacing w:before="240" w:line="276" w:lineRule="auto"/>
              <w:rPr>
                <w:i w:val="1"/>
              </w:rPr>
            </w:pPr>
            <w:r w:rsidDel="00000000" w:rsidR="00000000" w:rsidRPr="00000000">
              <w:rPr>
                <w:i w:val="1"/>
                <w:rtl w:val="0"/>
              </w:rPr>
              <w:t xml:space="preserve">reg4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5">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6">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7">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8">
            <w:pPr>
              <w:spacing w:before="240" w:line="276" w:lineRule="auto"/>
              <w:jc w:val="right"/>
              <w:rPr>
                <w:i w:val="1"/>
              </w:rPr>
            </w:pPr>
            <w:r w:rsidDel="00000000" w:rsidR="00000000" w:rsidRPr="00000000">
              <w:rPr>
                <w:i w:val="1"/>
                <w:rtl w:val="0"/>
              </w:rPr>
              <w:t xml:space="preserve">0.1348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9">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A">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B">
            <w:pPr>
              <w:spacing w:before="240" w:line="276" w:lineRule="auto"/>
              <w:jc w:val="right"/>
              <w:rPr>
                <w:i w:val="1"/>
              </w:rPr>
            </w:pPr>
            <w:r w:rsidDel="00000000" w:rsidR="00000000" w:rsidRPr="00000000">
              <w:rPr>
                <w:i w:val="1"/>
                <w:rtl w:val="0"/>
              </w:rPr>
              <w:t xml:space="preserve">0.3397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C">
            <w:pPr>
              <w:spacing w:before="240" w:line="276" w:lineRule="auto"/>
              <w:rPr>
                <w:i w:val="1"/>
              </w:rPr>
            </w:pPr>
            <w:r w:rsidDel="00000000" w:rsidR="00000000" w:rsidRPr="00000000">
              <w:rPr>
                <w:i w:val="1"/>
                <w:rtl w:val="0"/>
              </w:rPr>
              <w:t xml:space="preserve">avhv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D">
            <w:pPr>
              <w:spacing w:before="240" w:line="276" w:lineRule="auto"/>
              <w:jc w:val="right"/>
              <w:rPr>
                <w:i w:val="1"/>
              </w:rPr>
            </w:pPr>
            <w:r w:rsidDel="00000000" w:rsidR="00000000" w:rsidRPr="00000000">
              <w:rPr>
                <w:i w:val="1"/>
                <w:rtl w:val="0"/>
              </w:rPr>
              <w:t xml:space="preserve">54.000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E">
            <w:pPr>
              <w:spacing w:before="240" w:line="276" w:lineRule="auto"/>
              <w:jc w:val="right"/>
              <w:rPr>
                <w:i w:val="1"/>
              </w:rPr>
            </w:pPr>
            <w:r w:rsidDel="00000000" w:rsidR="00000000" w:rsidRPr="00000000">
              <w:rPr>
                <w:i w:val="1"/>
                <w:rtl w:val="0"/>
              </w:rPr>
              <w:t xml:space="preserve">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F">
            <w:pPr>
              <w:spacing w:before="240" w:line="276" w:lineRule="auto"/>
              <w:jc w:val="right"/>
              <w:rPr>
                <w:i w:val="1"/>
              </w:rPr>
            </w:pPr>
            <w:r w:rsidDel="00000000" w:rsidR="00000000" w:rsidRPr="00000000">
              <w:rPr>
                <w:i w:val="1"/>
                <w:rtl w:val="0"/>
              </w:rPr>
              <w:t xml:space="preserve">171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0">
            <w:pPr>
              <w:spacing w:before="240" w:line="276" w:lineRule="auto"/>
              <w:jc w:val="right"/>
              <w:rPr>
                <w:i w:val="1"/>
              </w:rPr>
            </w:pPr>
            <w:r w:rsidDel="00000000" w:rsidR="00000000" w:rsidRPr="00000000">
              <w:rPr>
                <w:i w:val="1"/>
                <w:rtl w:val="0"/>
              </w:rPr>
              <w:t xml:space="preserve">185.2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1">
            <w:pPr>
              <w:spacing w:before="240" w:line="276" w:lineRule="auto"/>
              <w:jc w:val="right"/>
              <w:rPr>
                <w:i w:val="1"/>
              </w:rPr>
            </w:pPr>
            <w:r w:rsidDel="00000000" w:rsidR="00000000" w:rsidRPr="00000000">
              <w:rPr>
                <w:i w:val="1"/>
                <w:rtl w:val="0"/>
              </w:rPr>
              <w:t xml:space="preserve">219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2">
            <w:pPr>
              <w:spacing w:before="240" w:line="276" w:lineRule="auto"/>
              <w:jc w:val="right"/>
              <w:rPr>
                <w:i w:val="1"/>
              </w:rPr>
            </w:pPr>
            <w:r w:rsidDel="00000000" w:rsidR="00000000" w:rsidRPr="00000000">
              <w:rPr>
                <w:i w:val="1"/>
                <w:rtl w:val="0"/>
              </w:rPr>
              <w:t xml:space="preserve">710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3">
            <w:pPr>
              <w:spacing w:before="240" w:line="276" w:lineRule="auto"/>
              <w:jc w:val="right"/>
              <w:rPr>
                <w:i w:val="1"/>
              </w:rPr>
            </w:pPr>
            <w:r w:rsidDel="00000000" w:rsidR="00000000" w:rsidRPr="00000000">
              <w:rPr>
                <w:i w:val="1"/>
                <w:rtl w:val="0"/>
              </w:rPr>
              <w:t xml:space="preserve">75.7769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4">
            <w:pPr>
              <w:spacing w:before="240" w:line="276" w:lineRule="auto"/>
              <w:rPr>
                <w:i w:val="1"/>
              </w:rPr>
            </w:pPr>
            <w:r w:rsidDel="00000000" w:rsidR="00000000" w:rsidRPr="00000000">
              <w:rPr>
                <w:i w:val="1"/>
                <w:rtl w:val="0"/>
              </w:rPr>
              <w:t xml:space="preserve">incm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5">
            <w:pPr>
              <w:spacing w:before="240" w:line="276" w:lineRule="auto"/>
              <w:jc w:val="right"/>
              <w:rPr>
                <w:i w:val="1"/>
              </w:rPr>
            </w:pPr>
            <w:r w:rsidDel="00000000" w:rsidR="00000000" w:rsidRPr="00000000">
              <w:rPr>
                <w:i w:val="1"/>
                <w:rtl w:val="0"/>
              </w:rPr>
              <w:t xml:space="preserve">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6">
            <w:pPr>
              <w:spacing w:before="240" w:line="276" w:lineRule="auto"/>
              <w:jc w:val="right"/>
              <w:rPr>
                <w:i w:val="1"/>
              </w:rPr>
            </w:pPr>
            <w:r w:rsidDel="00000000" w:rsidR="00000000" w:rsidRPr="00000000">
              <w:rPr>
                <w:i w:val="1"/>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7">
            <w:pPr>
              <w:spacing w:before="240" w:line="276" w:lineRule="auto"/>
              <w:jc w:val="right"/>
              <w:rPr>
                <w:i w:val="1"/>
              </w:rPr>
            </w:pPr>
            <w:r w:rsidDel="00000000" w:rsidR="00000000" w:rsidRPr="00000000">
              <w:rPr>
                <w:i w:val="1"/>
                <w:rtl w:val="0"/>
              </w:rPr>
              <w:t xml:space="preserve">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8">
            <w:pPr>
              <w:spacing w:before="240" w:line="276" w:lineRule="auto"/>
              <w:jc w:val="right"/>
              <w:rPr>
                <w:i w:val="1"/>
              </w:rPr>
            </w:pPr>
            <w:r w:rsidDel="00000000" w:rsidR="00000000" w:rsidRPr="00000000">
              <w:rPr>
                <w:i w:val="1"/>
                <w:rtl w:val="0"/>
              </w:rPr>
              <w:t xml:space="preserve">44.29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9">
            <w:pPr>
              <w:spacing w:before="240" w:line="276" w:lineRule="auto"/>
              <w:jc w:val="right"/>
              <w:rPr>
                <w:i w:val="1"/>
              </w:rPr>
            </w:pPr>
            <w:r w:rsidDel="00000000" w:rsidR="00000000" w:rsidRPr="00000000">
              <w:rPr>
                <w:i w:val="1"/>
                <w:rtl w:val="0"/>
              </w:rPr>
              <w:t xml:space="preserve">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A">
            <w:pPr>
              <w:spacing w:before="240" w:line="276" w:lineRule="auto"/>
              <w:jc w:val="right"/>
              <w:rPr>
                <w:i w:val="1"/>
              </w:rPr>
            </w:pPr>
            <w:r w:rsidDel="00000000" w:rsidR="00000000" w:rsidRPr="00000000">
              <w:rPr>
                <w:i w:val="1"/>
                <w:rtl w:val="0"/>
              </w:rPr>
              <w:t xml:space="preserve">287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B">
            <w:pPr>
              <w:spacing w:before="240" w:line="276" w:lineRule="auto"/>
              <w:jc w:val="right"/>
              <w:rPr>
                <w:i w:val="1"/>
              </w:rPr>
            </w:pPr>
            <w:r w:rsidDel="00000000" w:rsidR="00000000" w:rsidRPr="00000000">
              <w:rPr>
                <w:i w:val="1"/>
                <w:rtl w:val="0"/>
              </w:rPr>
              <w:t xml:space="preserve">25.3408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C">
            <w:pPr>
              <w:spacing w:before="240" w:line="276" w:lineRule="auto"/>
              <w:rPr>
                <w:i w:val="1"/>
              </w:rPr>
            </w:pPr>
            <w:r w:rsidDel="00000000" w:rsidR="00000000" w:rsidRPr="00000000">
              <w:rPr>
                <w:i w:val="1"/>
                <w:rtl w:val="0"/>
              </w:rPr>
              <w:t xml:space="preserve">inca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D">
            <w:pPr>
              <w:spacing w:before="240" w:line="276" w:lineRule="auto"/>
              <w:jc w:val="right"/>
              <w:rPr>
                <w:i w:val="1"/>
              </w:rPr>
            </w:pPr>
            <w:r w:rsidDel="00000000" w:rsidR="00000000" w:rsidRPr="00000000">
              <w:rPr>
                <w:i w:val="1"/>
                <w:rtl w:val="0"/>
              </w:rPr>
              <w:t xml:space="preserve">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E">
            <w:pPr>
              <w:spacing w:before="240" w:line="276" w:lineRule="auto"/>
              <w:jc w:val="right"/>
              <w:rPr>
                <w:i w:val="1"/>
              </w:rPr>
            </w:pPr>
            <w:r w:rsidDel="00000000" w:rsidR="00000000" w:rsidRPr="00000000">
              <w:rPr>
                <w:i w:val="1"/>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F">
            <w:pPr>
              <w:spacing w:before="240" w:line="276" w:lineRule="auto"/>
              <w:jc w:val="right"/>
              <w:rPr>
                <w:i w:val="1"/>
              </w:rPr>
            </w:pPr>
            <w:r w:rsidDel="00000000" w:rsidR="00000000" w:rsidRPr="00000000">
              <w:rPr>
                <w:i w:val="1"/>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0">
            <w:pPr>
              <w:spacing w:before="240" w:line="276" w:lineRule="auto"/>
              <w:jc w:val="right"/>
              <w:rPr>
                <w:i w:val="1"/>
              </w:rPr>
            </w:pPr>
            <w:r w:rsidDel="00000000" w:rsidR="00000000" w:rsidRPr="00000000">
              <w:rPr>
                <w:i w:val="1"/>
                <w:rtl w:val="0"/>
              </w:rPr>
              <w:t xml:space="preserve">57.14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1">
            <w:pPr>
              <w:spacing w:before="240" w:line="276" w:lineRule="auto"/>
              <w:jc w:val="right"/>
              <w:rPr>
                <w:i w:val="1"/>
              </w:rPr>
            </w:pPr>
            <w:r w:rsidDel="00000000" w:rsidR="00000000" w:rsidRPr="00000000">
              <w:rPr>
                <w:i w:val="1"/>
                <w:rtl w:val="0"/>
              </w:rPr>
              <w:t xml:space="preserve">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spacing w:before="240" w:line="276" w:lineRule="auto"/>
              <w:jc w:val="right"/>
              <w:rPr>
                <w:i w:val="1"/>
              </w:rPr>
            </w:pPr>
            <w:r w:rsidDel="00000000" w:rsidR="00000000" w:rsidRPr="00000000">
              <w:rPr>
                <w:i w:val="1"/>
                <w:rtl w:val="0"/>
              </w:rPr>
              <w:t xml:space="preserve">287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3">
            <w:pPr>
              <w:spacing w:before="240" w:line="276" w:lineRule="auto"/>
              <w:jc w:val="right"/>
              <w:rPr>
                <w:i w:val="1"/>
              </w:rPr>
            </w:pPr>
            <w:r w:rsidDel="00000000" w:rsidR="00000000" w:rsidRPr="00000000">
              <w:rPr>
                <w:i w:val="1"/>
                <w:rtl w:val="0"/>
              </w:rPr>
              <w:t xml:space="preserve">25.5689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4">
            <w:pPr>
              <w:spacing w:before="240" w:line="276" w:lineRule="auto"/>
              <w:rPr>
                <w:i w:val="1"/>
              </w:rPr>
            </w:pPr>
            <w:r w:rsidDel="00000000" w:rsidR="00000000" w:rsidRPr="00000000">
              <w:rPr>
                <w:i w:val="1"/>
                <w:rtl w:val="0"/>
              </w:rPr>
              <w:t xml:space="preserve">plow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5">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6">
            <w:pPr>
              <w:spacing w:before="240" w:line="276" w:lineRule="auto"/>
              <w:jc w:val="right"/>
              <w:rPr>
                <w:i w:val="1"/>
              </w:rPr>
            </w:pPr>
            <w:r w:rsidDel="00000000" w:rsidR="00000000" w:rsidRPr="00000000">
              <w:rPr>
                <w:i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7">
            <w:pPr>
              <w:spacing w:before="240" w:line="276" w:lineRule="auto"/>
              <w:jc w:val="right"/>
              <w:rPr>
                <w:i w:val="1"/>
              </w:rPr>
            </w:pPr>
            <w:r w:rsidDel="00000000" w:rsidR="00000000" w:rsidRPr="00000000">
              <w:rPr>
                <w:i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8">
            <w:pPr>
              <w:spacing w:before="240" w:line="276" w:lineRule="auto"/>
              <w:jc w:val="right"/>
              <w:rPr>
                <w:i w:val="1"/>
              </w:rPr>
            </w:pPr>
            <w:r w:rsidDel="00000000" w:rsidR="00000000" w:rsidRPr="00000000">
              <w:rPr>
                <w:i w:val="1"/>
                <w:rtl w:val="0"/>
              </w:rPr>
              <w:t xml:space="preserve">13.73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9">
            <w:pPr>
              <w:spacing w:before="240" w:line="276" w:lineRule="auto"/>
              <w:jc w:val="right"/>
              <w:rPr>
                <w:i w:val="1"/>
              </w:rPr>
            </w:pPr>
            <w:r w:rsidDel="00000000" w:rsidR="00000000" w:rsidRPr="00000000">
              <w:rPr>
                <w:i w:val="1"/>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A">
            <w:pPr>
              <w:spacing w:before="240" w:line="276" w:lineRule="auto"/>
              <w:jc w:val="right"/>
              <w:rPr>
                <w:i w:val="1"/>
              </w:rPr>
            </w:pPr>
            <w:r w:rsidDel="00000000" w:rsidR="00000000" w:rsidRPr="00000000">
              <w:rPr>
                <w:i w:val="1"/>
                <w:rtl w:val="0"/>
              </w:rPr>
              <w:t xml:space="preserve">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B">
            <w:pPr>
              <w:spacing w:before="240" w:line="276" w:lineRule="auto"/>
              <w:jc w:val="right"/>
              <w:rPr>
                <w:i w:val="1"/>
              </w:rPr>
            </w:pPr>
            <w:r w:rsidDel="00000000" w:rsidR="00000000" w:rsidRPr="00000000">
              <w:rPr>
                <w:i w:val="1"/>
                <w:rtl w:val="0"/>
              </w:rPr>
              <w:t xml:space="preserve">13.2656</w:t>
            </w:r>
          </w:p>
        </w:tc>
      </w:tr>
    </w:tbl>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The bar charts for the Reg variables are below to highlight the differences in each region.</w:t>
      </w:r>
    </w:p>
    <w:p w:rsidR="00000000" w:rsidDel="00000000" w:rsidP="00000000" w:rsidRDefault="00000000" w:rsidRPr="00000000" w14:paraId="000000BE">
      <w:pPr>
        <w:spacing w:line="240" w:lineRule="auto"/>
        <w:rPr/>
      </w:pPr>
      <w:r w:rsidDel="00000000" w:rsidR="00000000" w:rsidRPr="00000000">
        <w:rPr/>
        <w:drawing>
          <wp:inline distB="114300" distT="114300" distL="114300" distR="114300">
            <wp:extent cx="5943600" cy="40894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The correlation matrix for these variables shows that none of the variables are great predictors for donr or damt. There is also high multicollinearity between plow and the other financial measurements of the potential donor’s neighborhood with strong negative correlations. The three other financial measurements of the neighborhood have strong positive correlations up to 0.84 (between inca and avhv). These relationships will be important to keep in mind while building models.</w:t>
      </w:r>
    </w:p>
    <w:p w:rsidR="00000000" w:rsidDel="00000000" w:rsidP="00000000" w:rsidRDefault="00000000" w:rsidRPr="00000000" w14:paraId="000000C0">
      <w:pPr>
        <w:spacing w:line="240" w:lineRule="auto"/>
        <w:rPr>
          <w:i w:val="1"/>
        </w:rPr>
      </w:pPr>
      <w:r w:rsidDel="00000000" w:rsidR="00000000" w:rsidRPr="00000000">
        <w:rPr/>
        <w:drawing>
          <wp:inline distB="114300" distT="114300" distL="114300" distR="114300">
            <wp:extent cx="5129213" cy="2961394"/>
            <wp:effectExtent b="0" l="0" r="0" t="0"/>
            <wp:docPr id="7" name="image5.png"/>
            <a:graphic>
              <a:graphicData uri="http://schemas.openxmlformats.org/drawingml/2006/picture">
                <pic:pic>
                  <pic:nvPicPr>
                    <pic:cNvPr id="0" name="image5.png"/>
                    <pic:cNvPicPr preferRelativeResize="0"/>
                  </pic:nvPicPr>
                  <pic:blipFill>
                    <a:blip r:embed="rId7"/>
                    <a:srcRect b="7226" l="0" r="0" t="8624"/>
                    <a:stretch>
                      <a:fillRect/>
                    </a:stretch>
                  </pic:blipFill>
                  <pic:spPr>
                    <a:xfrm>
                      <a:off x="0" y="0"/>
                      <a:ext cx="5129213" cy="296139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4"/>
        <w:spacing w:line="240" w:lineRule="auto"/>
        <w:rPr/>
      </w:pPr>
      <w:bookmarkStart w:colFirst="0" w:colLast="0" w:name="_vnpzqigijj5e" w:id="6"/>
      <w:bookmarkEnd w:id="6"/>
      <w:r w:rsidDel="00000000" w:rsidR="00000000" w:rsidRPr="00000000">
        <w:rPr>
          <w:rtl w:val="0"/>
        </w:rPr>
        <w:t xml:space="preserve">Donor Variables</w:t>
      </w:r>
    </w:p>
    <w:p w:rsidR="00000000" w:rsidDel="00000000" w:rsidP="00000000" w:rsidRDefault="00000000" w:rsidRPr="00000000" w14:paraId="000000C2">
      <w:pPr>
        <w:spacing w:line="240" w:lineRule="auto"/>
        <w:rPr/>
      </w:pPr>
      <w:r w:rsidDel="00000000" w:rsidR="00000000" w:rsidRPr="00000000">
        <w:rPr>
          <w:rtl w:val="0"/>
        </w:rPr>
        <w:tab/>
        <w:t xml:space="preserve">This section will focus on traits related to the potential donor. This will include the following variables:</w:t>
      </w:r>
    </w:p>
    <w:p w:rsidR="00000000" w:rsidDel="00000000" w:rsidP="00000000" w:rsidRDefault="00000000" w:rsidRPr="00000000" w14:paraId="000000C3">
      <w:pPr>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i w:val="1"/>
                <w:rtl w:val="0"/>
              </w:rPr>
              <w:t xml:space="preserve">Home ownership status (1 = homeowner, 0 = not a homeowner)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i w:val="1"/>
                <w:rtl w:val="0"/>
              </w:rPr>
              <w:t xml:space="preserve">Number of children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i w:val="1"/>
                <w:rtl w:val="0"/>
              </w:rPr>
              <w:t xml:space="preserve">Household income (7 categories)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i w:val="1"/>
                <w:rtl w:val="0"/>
              </w:rPr>
              <w:t xml:space="preserve">Gender (0 = Male, 1 = Female)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i w:val="1"/>
                <w:rtl w:val="0"/>
              </w:rPr>
              <w:t xml:space="preserve">Wealth Rating (Wealth rating uses median family income and population statistics from each area to index relative wealth within each state. The segments are denoted 0-9, with 9 being the highest wealth group and 0 being the lowest.)</w:t>
            </w:r>
            <w:r w:rsidDel="00000000" w:rsidR="00000000" w:rsidRPr="00000000">
              <w:rPr>
                <w:rtl w:val="0"/>
              </w:rPr>
            </w:r>
          </w:p>
        </w:tc>
      </w:tr>
    </w:tbl>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The summaries of these categories for the training data are described in the table below:</w:t>
      </w:r>
    </w:p>
    <w:p w:rsidR="00000000" w:rsidDel="00000000" w:rsidP="00000000" w:rsidRDefault="00000000" w:rsidRPr="00000000" w14:paraId="000000D0">
      <w:pPr>
        <w:spacing w:line="240" w:lineRule="auto"/>
        <w:rPr>
          <w:i w:val="1"/>
        </w:rPr>
      </w:pPr>
      <w:r w:rsidDel="00000000" w:rsidR="00000000" w:rsidRPr="00000000">
        <w:rPr>
          <w:rtl w:val="0"/>
        </w:rPr>
      </w:r>
    </w:p>
    <w:tbl>
      <w:tblPr>
        <w:tblStyle w:val="Table5"/>
        <w:tblW w:w="70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900"/>
        <w:gridCol w:w="855"/>
        <w:gridCol w:w="975"/>
        <w:gridCol w:w="900"/>
        <w:gridCol w:w="915"/>
        <w:gridCol w:w="765"/>
        <w:gridCol w:w="990"/>
        <w:tblGridChange w:id="0">
          <w:tblGrid>
            <w:gridCol w:w="765"/>
            <w:gridCol w:w="900"/>
            <w:gridCol w:w="855"/>
            <w:gridCol w:w="975"/>
            <w:gridCol w:w="900"/>
            <w:gridCol w:w="915"/>
            <w:gridCol w:w="765"/>
            <w:gridCol w:w="9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1">
            <w:pPr>
              <w:spacing w:before="240" w:line="276" w:lineRule="auto"/>
              <w:rPr>
                <w:i w:val="1"/>
              </w:rPr>
            </w:pPr>
            <w:r w:rsidDel="00000000" w:rsidR="00000000" w:rsidRPr="00000000">
              <w:rPr>
                <w:i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2">
            <w:pPr>
              <w:spacing w:before="240" w:line="276" w:lineRule="auto"/>
              <w:rPr>
                <w:i w:val="1"/>
              </w:rPr>
            </w:pPr>
            <w:r w:rsidDel="00000000" w:rsidR="00000000" w:rsidRPr="00000000">
              <w:rPr>
                <w:i w:val="1"/>
                <w:rtl w:val="0"/>
              </w:rPr>
              <w:t xml:space="preserve">Min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3">
            <w:pPr>
              <w:spacing w:before="240" w:line="276" w:lineRule="auto"/>
              <w:rPr>
                <w:i w:val="1"/>
              </w:rPr>
            </w:pPr>
            <w:r w:rsidDel="00000000" w:rsidR="00000000" w:rsidRPr="00000000">
              <w:rPr>
                <w:i w:val="1"/>
                <w:rtl w:val="0"/>
              </w:rPr>
              <w:t xml:space="preserve">1st Qu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4">
            <w:pPr>
              <w:spacing w:before="240" w:line="276" w:lineRule="auto"/>
              <w:rPr>
                <w:i w:val="1"/>
              </w:rPr>
            </w:pPr>
            <w:r w:rsidDel="00000000" w:rsidR="00000000" w:rsidRPr="00000000">
              <w:rPr>
                <w:i w:val="1"/>
                <w:rtl w:val="0"/>
              </w:rPr>
              <w:t xml:space="preserve">Median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5">
            <w:pPr>
              <w:spacing w:before="240" w:line="276" w:lineRule="auto"/>
              <w:rPr>
                <w:i w:val="1"/>
              </w:rPr>
            </w:pPr>
            <w:r w:rsidDel="00000000" w:rsidR="00000000" w:rsidRPr="00000000">
              <w:rPr>
                <w:i w:val="1"/>
                <w:rtl w:val="0"/>
              </w:rPr>
              <w:t xml:space="preserve">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spacing w:before="240" w:line="276" w:lineRule="auto"/>
              <w:rPr>
                <w:i w:val="1"/>
              </w:rPr>
            </w:pPr>
            <w:r w:rsidDel="00000000" w:rsidR="00000000" w:rsidRPr="00000000">
              <w:rPr>
                <w:i w:val="1"/>
                <w:rtl w:val="0"/>
              </w:rPr>
              <w:t xml:space="preserve">3rd Qu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7">
            <w:pPr>
              <w:spacing w:before="240" w:line="276" w:lineRule="auto"/>
              <w:rPr>
                <w:i w:val="1"/>
              </w:rPr>
            </w:pPr>
            <w:r w:rsidDel="00000000" w:rsidR="00000000" w:rsidRPr="00000000">
              <w:rPr>
                <w:i w:val="1"/>
                <w:rtl w:val="0"/>
              </w:rPr>
              <w:t xml:space="preserve">Max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8">
            <w:pPr>
              <w:spacing w:before="240" w:line="276" w:lineRule="auto"/>
              <w:rPr>
                <w:i w:val="1"/>
              </w:rPr>
            </w:pPr>
            <w:r w:rsidDel="00000000" w:rsidR="00000000" w:rsidRPr="00000000">
              <w:rPr>
                <w:i w:val="1"/>
                <w:rtl w:val="0"/>
              </w:rPr>
              <w:t xml:space="preserve">SD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9">
            <w:pPr>
              <w:spacing w:before="240" w:line="276" w:lineRule="auto"/>
              <w:rPr>
                <w:i w:val="1"/>
              </w:rPr>
            </w:pPr>
            <w:r w:rsidDel="00000000" w:rsidR="00000000" w:rsidRPr="00000000">
              <w:rPr>
                <w:i w:val="1"/>
                <w:rtl w:val="0"/>
              </w:rPr>
              <w:t xml:space="preserve">home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A">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B">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C">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D">
            <w:pPr>
              <w:spacing w:before="240" w:line="276" w:lineRule="auto"/>
              <w:jc w:val="right"/>
              <w:rPr>
                <w:i w:val="1"/>
              </w:rPr>
            </w:pPr>
            <w:r w:rsidDel="00000000" w:rsidR="00000000" w:rsidRPr="00000000">
              <w:rPr>
                <w:i w:val="1"/>
                <w:rtl w:val="0"/>
              </w:rPr>
              <w:t xml:space="preserve">0.8833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0">
            <w:pPr>
              <w:spacing w:before="240" w:line="276" w:lineRule="auto"/>
              <w:jc w:val="right"/>
              <w:rPr>
                <w:i w:val="1"/>
              </w:rPr>
            </w:pPr>
            <w:r w:rsidDel="00000000" w:rsidR="00000000" w:rsidRPr="00000000">
              <w:rPr>
                <w:i w:val="1"/>
                <w:rtl w:val="0"/>
              </w:rPr>
              <w:t xml:space="preserve">0.3206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1">
            <w:pPr>
              <w:spacing w:before="240" w:line="276" w:lineRule="auto"/>
              <w:rPr>
                <w:i w:val="1"/>
              </w:rPr>
            </w:pPr>
            <w:r w:rsidDel="00000000" w:rsidR="00000000" w:rsidRPr="00000000">
              <w:rPr>
                <w:i w:val="1"/>
                <w:rtl w:val="0"/>
              </w:rPr>
              <w:t xml:space="preserve">chld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2">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3">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4">
            <w:pPr>
              <w:spacing w:before="240" w:line="276" w:lineRule="auto"/>
              <w:jc w:val="right"/>
              <w:rPr>
                <w:i w:val="1"/>
              </w:rPr>
            </w:pPr>
            <w:r w:rsidDel="00000000" w:rsidR="00000000" w:rsidRPr="00000000">
              <w:rPr>
                <w:i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5">
            <w:pPr>
              <w:spacing w:before="240" w:line="276" w:lineRule="auto"/>
              <w:jc w:val="right"/>
              <w:rPr>
                <w:i w:val="1"/>
              </w:rPr>
            </w:pPr>
            <w:r w:rsidDel="00000000" w:rsidR="00000000" w:rsidRPr="00000000">
              <w:rPr>
                <w:i w:val="1"/>
                <w:rtl w:val="0"/>
              </w:rPr>
              <w:t xml:space="preserve">1.577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6">
            <w:pPr>
              <w:spacing w:before="240" w:line="276" w:lineRule="auto"/>
              <w:jc w:val="right"/>
              <w:rPr>
                <w:i w:val="1"/>
              </w:rPr>
            </w:pPr>
            <w:r w:rsidDel="00000000" w:rsidR="00000000" w:rsidRPr="00000000">
              <w:rPr>
                <w:i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7">
            <w:pPr>
              <w:spacing w:before="240" w:line="276" w:lineRule="auto"/>
              <w:jc w:val="right"/>
              <w:rPr>
                <w:i w:val="1"/>
              </w:rPr>
            </w:pPr>
            <w:r w:rsidDel="00000000" w:rsidR="00000000" w:rsidRPr="00000000">
              <w:rPr>
                <w:i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8">
            <w:pPr>
              <w:spacing w:before="240" w:line="276" w:lineRule="auto"/>
              <w:jc w:val="right"/>
              <w:rPr>
                <w:i w:val="1"/>
              </w:rPr>
            </w:pPr>
            <w:r w:rsidDel="00000000" w:rsidR="00000000" w:rsidRPr="00000000">
              <w:rPr>
                <w:i w:val="1"/>
                <w:rtl w:val="0"/>
              </w:rPr>
              <w:t xml:space="preserve">1.4004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9">
            <w:pPr>
              <w:spacing w:before="240" w:line="276" w:lineRule="auto"/>
              <w:rPr>
                <w:i w:val="1"/>
              </w:rPr>
            </w:pPr>
            <w:r w:rsidDel="00000000" w:rsidR="00000000" w:rsidRPr="00000000">
              <w:rPr>
                <w:i w:val="1"/>
                <w:rtl w:val="0"/>
              </w:rPr>
              <w:t xml:space="preserve">hinc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A">
            <w:pPr>
              <w:spacing w:before="240" w:line="276" w:lineRule="auto"/>
              <w:jc w:val="right"/>
              <w:rPr>
                <w:i w:val="1"/>
              </w:rPr>
            </w:pPr>
            <w:r w:rsidDel="00000000" w:rsidR="00000000" w:rsidRPr="00000000">
              <w:rPr>
                <w:i w:val="1"/>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B">
            <w:pPr>
              <w:spacing w:before="240" w:line="276" w:lineRule="auto"/>
              <w:jc w:val="right"/>
              <w:rPr>
                <w:i w:val="1"/>
              </w:rPr>
            </w:pPr>
            <w:r w:rsidDel="00000000" w:rsidR="00000000" w:rsidRPr="00000000">
              <w:rPr>
                <w:i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C">
            <w:pPr>
              <w:spacing w:before="240" w:line="276" w:lineRule="auto"/>
              <w:jc w:val="right"/>
              <w:rPr>
                <w:i w:val="1"/>
              </w:rPr>
            </w:pPr>
            <w:r w:rsidDel="00000000" w:rsidR="00000000" w:rsidRPr="00000000">
              <w:rPr>
                <w:i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D">
            <w:pPr>
              <w:spacing w:before="240" w:line="276" w:lineRule="auto"/>
              <w:jc w:val="right"/>
              <w:rPr>
                <w:i w:val="1"/>
              </w:rPr>
            </w:pPr>
            <w:r w:rsidDel="00000000" w:rsidR="00000000" w:rsidRPr="00000000">
              <w:rPr>
                <w:i w:val="1"/>
                <w:rtl w:val="0"/>
              </w:rPr>
              <w:t xml:space="preserve">3.946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E">
            <w:pPr>
              <w:spacing w:before="240" w:line="276" w:lineRule="auto"/>
              <w:jc w:val="right"/>
              <w:rPr>
                <w:i w:val="1"/>
              </w:rPr>
            </w:pPr>
            <w:r w:rsidDel="00000000" w:rsidR="00000000" w:rsidRPr="00000000">
              <w:rPr>
                <w:i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F">
            <w:pPr>
              <w:spacing w:before="240" w:line="276" w:lineRule="auto"/>
              <w:jc w:val="right"/>
              <w:rPr>
                <w:i w:val="1"/>
              </w:rPr>
            </w:pPr>
            <w:r w:rsidDel="00000000" w:rsidR="00000000" w:rsidRPr="00000000">
              <w:rPr>
                <w:i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0">
            <w:pPr>
              <w:spacing w:before="240" w:line="276" w:lineRule="auto"/>
              <w:jc w:val="right"/>
              <w:rPr>
                <w:i w:val="1"/>
              </w:rPr>
            </w:pPr>
            <w:r w:rsidDel="00000000" w:rsidR="00000000" w:rsidRPr="00000000">
              <w:rPr>
                <w:i w:val="1"/>
                <w:rtl w:val="0"/>
              </w:rPr>
              <w:t xml:space="preserve">1.4007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1">
            <w:pPr>
              <w:spacing w:before="240" w:line="276" w:lineRule="auto"/>
              <w:rPr>
                <w:i w:val="1"/>
              </w:rPr>
            </w:pPr>
            <w:r w:rsidDel="00000000" w:rsidR="00000000" w:rsidRPr="00000000">
              <w:rPr>
                <w:i w:val="1"/>
                <w:rtl w:val="0"/>
              </w:rPr>
              <w:t xml:space="preserve">genf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2">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3">
            <w:pPr>
              <w:spacing w:before="240" w:line="276" w:lineRule="auto"/>
              <w:jc w:val="right"/>
              <w:rPr>
                <w:i w:val="1"/>
              </w:rPr>
            </w:pPr>
            <w:r w:rsidDel="00000000" w:rsidR="00000000" w:rsidRPr="00000000">
              <w:rPr>
                <w:i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4">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5">
            <w:pPr>
              <w:spacing w:before="240" w:line="276" w:lineRule="auto"/>
              <w:jc w:val="right"/>
              <w:rPr>
                <w:i w:val="1"/>
              </w:rPr>
            </w:pPr>
            <w:r w:rsidDel="00000000" w:rsidR="00000000" w:rsidRPr="00000000">
              <w:rPr>
                <w:i w:val="1"/>
                <w:rtl w:val="0"/>
              </w:rPr>
              <w:t xml:space="preserve">0.6049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6">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7">
            <w:pPr>
              <w:spacing w:before="240" w:line="276" w:lineRule="auto"/>
              <w:jc w:val="right"/>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8">
            <w:pPr>
              <w:spacing w:before="240" w:line="276" w:lineRule="auto"/>
              <w:jc w:val="right"/>
              <w:rPr>
                <w:i w:val="1"/>
              </w:rPr>
            </w:pPr>
            <w:r w:rsidDel="00000000" w:rsidR="00000000" w:rsidRPr="00000000">
              <w:rPr>
                <w:i w:val="1"/>
                <w:rtl w:val="0"/>
              </w:rPr>
              <w:t xml:space="preserve">0.4874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9">
            <w:pPr>
              <w:spacing w:before="240" w:line="276" w:lineRule="auto"/>
              <w:rPr>
                <w:i w:val="1"/>
              </w:rPr>
            </w:pPr>
            <w:r w:rsidDel="00000000" w:rsidR="00000000" w:rsidRPr="00000000">
              <w:rPr>
                <w:i w:val="1"/>
                <w:rtl w:val="0"/>
              </w:rPr>
              <w:t xml:space="preserve">wrat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A">
            <w:pPr>
              <w:spacing w:before="240" w:line="276" w:lineRule="auto"/>
              <w:jc w:val="right"/>
              <w:rPr>
                <w:i w:val="1"/>
              </w:rPr>
            </w:pPr>
            <w:r w:rsidDel="00000000" w:rsidR="00000000" w:rsidRPr="00000000">
              <w:rPr>
                <w:i w:val="1"/>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B">
            <w:pPr>
              <w:spacing w:before="240" w:line="276" w:lineRule="auto"/>
              <w:jc w:val="right"/>
              <w:rPr>
                <w:i w:val="1"/>
              </w:rPr>
            </w:pPr>
            <w:r w:rsidDel="00000000" w:rsidR="00000000" w:rsidRPr="00000000">
              <w:rPr>
                <w:i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C">
            <w:pPr>
              <w:spacing w:before="240" w:line="276" w:lineRule="auto"/>
              <w:jc w:val="right"/>
              <w:rPr>
                <w:i w:val="1"/>
              </w:rPr>
            </w:pPr>
            <w:r w:rsidDel="00000000" w:rsidR="00000000" w:rsidRPr="00000000">
              <w:rPr>
                <w:i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D">
            <w:pPr>
              <w:spacing w:before="240" w:line="276" w:lineRule="auto"/>
              <w:jc w:val="right"/>
              <w:rPr>
                <w:i w:val="1"/>
              </w:rPr>
            </w:pPr>
            <w:r w:rsidDel="00000000" w:rsidR="00000000" w:rsidRPr="00000000">
              <w:rPr>
                <w:i w:val="1"/>
                <w:rtl w:val="0"/>
              </w:rPr>
              <w:t xml:space="preserve">7.053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E">
            <w:pPr>
              <w:spacing w:before="240" w:line="276" w:lineRule="auto"/>
              <w:jc w:val="right"/>
              <w:rPr>
                <w:i w:val="1"/>
              </w:rPr>
            </w:pPr>
            <w:r w:rsidDel="00000000" w:rsidR="00000000" w:rsidRPr="00000000">
              <w:rPr>
                <w:i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F">
            <w:pPr>
              <w:spacing w:before="240" w:line="276" w:lineRule="auto"/>
              <w:jc w:val="right"/>
              <w:rPr>
                <w:i w:val="1"/>
              </w:rPr>
            </w:pPr>
            <w:r w:rsidDel="00000000" w:rsidR="00000000" w:rsidRPr="00000000">
              <w:rPr>
                <w:i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0">
            <w:pPr>
              <w:spacing w:before="240" w:line="276" w:lineRule="auto"/>
              <w:jc w:val="right"/>
              <w:rPr>
                <w:i w:val="1"/>
              </w:rPr>
            </w:pPr>
            <w:r w:rsidDel="00000000" w:rsidR="00000000" w:rsidRPr="00000000">
              <w:rPr>
                <w:i w:val="1"/>
                <w:rtl w:val="0"/>
              </w:rPr>
              <w:t xml:space="preserve">2.3257</w:t>
            </w:r>
          </w:p>
        </w:tc>
      </w:tr>
    </w:tbl>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The correlation matrix for these variables shows that home and chld have promising relationships with donr and damt. Home has a correlation of 0.29 with donr and 0.28 with damt, while chld has a -0.54 correlation with donr and a -0.57 correlation with damt. Wrat is also promising as it has a correlation of 0.17 with donr and 0.14 with damt.</w:t>
      </w:r>
    </w:p>
    <w:p w:rsidR="00000000" w:rsidDel="00000000" w:rsidP="00000000" w:rsidRDefault="00000000" w:rsidRPr="00000000" w14:paraId="00000103">
      <w:pPr>
        <w:spacing w:line="240" w:lineRule="auto"/>
        <w:rPr/>
      </w:pPr>
      <w:r w:rsidDel="00000000" w:rsidR="00000000" w:rsidRPr="00000000">
        <w:rPr/>
        <w:drawing>
          <wp:inline distB="114300" distT="114300" distL="114300" distR="114300">
            <wp:extent cx="5943600" cy="3333750"/>
            <wp:effectExtent b="0" l="0" r="0" t="0"/>
            <wp:docPr id="6" name="image11.png"/>
            <a:graphic>
              <a:graphicData uri="http://schemas.openxmlformats.org/drawingml/2006/picture">
                <pic:pic>
                  <pic:nvPicPr>
                    <pic:cNvPr id="0" name="image11.png"/>
                    <pic:cNvPicPr preferRelativeResize="0"/>
                  </pic:nvPicPr>
                  <pic:blipFill>
                    <a:blip r:embed="rId8"/>
                    <a:srcRect b="9090" l="0" r="0" t="9324"/>
                    <a:stretch>
                      <a:fillRect/>
                    </a:stretch>
                  </pic:blipFill>
                  <pic:spPr>
                    <a:xfrm>
                      <a:off x="0" y="0"/>
                      <a:ext cx="59436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The bar charts for chld, hinc, and wrat are below. These charts show that there is a clear downward trend in donations with more children and a clear upward trend with household income and wealth rating. These trends will be explored in the data preparation section.</w:t>
      </w:r>
    </w:p>
    <w:p w:rsidR="00000000" w:rsidDel="00000000" w:rsidP="00000000" w:rsidRDefault="00000000" w:rsidRPr="00000000" w14:paraId="00000105">
      <w:pPr>
        <w:spacing w:line="240" w:lineRule="auto"/>
        <w:rPr/>
      </w:pPr>
      <w:r w:rsidDel="00000000" w:rsidR="00000000" w:rsidRPr="00000000">
        <w:rPr/>
        <w:drawing>
          <wp:inline distB="114300" distT="114300" distL="114300" distR="114300">
            <wp:extent cx="5943600" cy="40894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4"/>
        <w:spacing w:line="240" w:lineRule="auto"/>
        <w:rPr/>
      </w:pPr>
      <w:bookmarkStart w:colFirst="0" w:colLast="0" w:name="_1c3tjfn4v033" w:id="7"/>
      <w:bookmarkEnd w:id="7"/>
      <w:r w:rsidDel="00000000" w:rsidR="00000000" w:rsidRPr="00000000">
        <w:rPr>
          <w:rtl w:val="0"/>
        </w:rPr>
        <w:t xml:space="preserve">Prior Gift Variables</w:t>
      </w:r>
    </w:p>
    <w:p w:rsidR="00000000" w:rsidDel="00000000" w:rsidP="00000000" w:rsidRDefault="00000000" w:rsidRPr="00000000" w14:paraId="00000107">
      <w:pPr>
        <w:spacing w:line="240" w:lineRule="auto"/>
        <w:rPr/>
      </w:pPr>
      <w:r w:rsidDel="00000000" w:rsidR="00000000" w:rsidRPr="00000000">
        <w:rPr>
          <w:i w:val="1"/>
          <w:rtl w:val="0"/>
        </w:rPr>
        <w:tab/>
      </w:r>
      <w:r w:rsidDel="00000000" w:rsidR="00000000" w:rsidRPr="00000000">
        <w:rPr>
          <w:rtl w:val="0"/>
        </w:rPr>
        <w:t xml:space="preserve">This section will focus on prior outreach attempts and prior donations. This will include the following variables:</w:t>
      </w:r>
    </w:p>
    <w:p w:rsidR="00000000" w:rsidDel="00000000" w:rsidP="00000000" w:rsidRDefault="00000000" w:rsidRPr="00000000" w14:paraId="00000108">
      <w:pPr>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280"/>
        <w:tblGridChange w:id="0">
          <w:tblGrid>
            <w:gridCol w:w="408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i w:val="1"/>
                <w:rtl w:val="0"/>
              </w:rPr>
              <w:t xml:space="preserve"> Lifetime number of promotions received to 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i w:val="1"/>
                <w:rtl w:val="0"/>
              </w:rPr>
              <w:t xml:space="preserve">The dollar amount of lifetime gifts to 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i w:val="1"/>
                <w:rtl w:val="0"/>
              </w:rPr>
              <w:t xml:space="preserve">The dollar amount of the largest gift to 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i w:val="1"/>
                <w:rtl w:val="0"/>
              </w:rPr>
              <w:t xml:space="preserve">The dollar amount of the most recent gift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i w:val="1"/>
                <w:rtl w:val="0"/>
              </w:rPr>
              <w:t xml:space="preserve">Number of months since the last donation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i w:val="1"/>
                <w:rtl w:val="0"/>
              </w:rPr>
              <w:t xml:space="preserve"> Number of months between first and second gift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i w:val="1"/>
                <w:rtl w:val="0"/>
              </w:rPr>
              <w:t xml:space="preserve">The average dollar amount of gifts to date</w:t>
            </w:r>
            <w:r w:rsidDel="00000000" w:rsidR="00000000" w:rsidRPr="00000000">
              <w:rPr>
                <w:rtl w:val="0"/>
              </w:rPr>
            </w:r>
          </w:p>
        </w:tc>
      </w:tr>
    </w:tbl>
    <w:p w:rsidR="00000000" w:rsidDel="00000000" w:rsidP="00000000" w:rsidRDefault="00000000" w:rsidRPr="00000000" w14:paraId="00000117">
      <w:pPr>
        <w:spacing w:line="240" w:lineRule="auto"/>
        <w:rPr>
          <w:i w:val="1"/>
        </w:rPr>
      </w:pPr>
      <w:r w:rsidDel="00000000" w:rsidR="00000000" w:rsidRPr="00000000">
        <w:rPr>
          <w:rtl w:val="0"/>
        </w:rPr>
      </w:r>
    </w:p>
    <w:p w:rsidR="00000000" w:rsidDel="00000000" w:rsidP="00000000" w:rsidRDefault="00000000" w:rsidRPr="00000000" w14:paraId="00000118">
      <w:pPr>
        <w:spacing w:line="240" w:lineRule="auto"/>
        <w:rPr>
          <w:i w:val="1"/>
        </w:rPr>
      </w:pPr>
      <w:r w:rsidDel="00000000" w:rsidR="00000000" w:rsidRPr="00000000">
        <w:rPr>
          <w:rtl w:val="0"/>
        </w:rPr>
        <w:t xml:space="preserve">The summaries of these categories for the training data are described in the table below:</w:t>
      </w:r>
      <w:r w:rsidDel="00000000" w:rsidR="00000000" w:rsidRPr="00000000">
        <w:rPr>
          <w:rtl w:val="0"/>
        </w:rPr>
      </w:r>
    </w:p>
    <w:tbl>
      <w:tblPr>
        <w:tblStyle w:val="Table7"/>
        <w:tblW w:w="70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900"/>
        <w:gridCol w:w="855"/>
        <w:gridCol w:w="975"/>
        <w:gridCol w:w="900"/>
        <w:gridCol w:w="915"/>
        <w:gridCol w:w="765"/>
        <w:gridCol w:w="990"/>
        <w:tblGridChange w:id="0">
          <w:tblGrid>
            <w:gridCol w:w="765"/>
            <w:gridCol w:w="900"/>
            <w:gridCol w:w="855"/>
            <w:gridCol w:w="975"/>
            <w:gridCol w:w="900"/>
            <w:gridCol w:w="915"/>
            <w:gridCol w:w="765"/>
            <w:gridCol w:w="9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9">
            <w:pPr>
              <w:spacing w:before="240" w:line="276" w:lineRule="auto"/>
              <w:rPr>
                <w:i w:val="1"/>
              </w:rPr>
            </w:pPr>
            <w:r w:rsidDel="00000000" w:rsidR="00000000" w:rsidRPr="00000000">
              <w:rPr>
                <w:i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A">
            <w:pPr>
              <w:spacing w:before="240" w:line="276" w:lineRule="auto"/>
              <w:rPr>
                <w:i w:val="1"/>
              </w:rPr>
            </w:pPr>
            <w:r w:rsidDel="00000000" w:rsidR="00000000" w:rsidRPr="00000000">
              <w:rPr>
                <w:i w:val="1"/>
                <w:rtl w:val="0"/>
              </w:rPr>
              <w:t xml:space="preserve">Min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B">
            <w:pPr>
              <w:spacing w:before="240" w:line="276" w:lineRule="auto"/>
              <w:rPr>
                <w:i w:val="1"/>
              </w:rPr>
            </w:pPr>
            <w:r w:rsidDel="00000000" w:rsidR="00000000" w:rsidRPr="00000000">
              <w:rPr>
                <w:i w:val="1"/>
                <w:rtl w:val="0"/>
              </w:rPr>
              <w:t xml:space="preserve">1st Qu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C">
            <w:pPr>
              <w:spacing w:before="240" w:line="276" w:lineRule="auto"/>
              <w:rPr>
                <w:i w:val="1"/>
              </w:rPr>
            </w:pPr>
            <w:r w:rsidDel="00000000" w:rsidR="00000000" w:rsidRPr="00000000">
              <w:rPr>
                <w:i w:val="1"/>
                <w:rtl w:val="0"/>
              </w:rPr>
              <w:t xml:space="preserve">Median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D">
            <w:pPr>
              <w:spacing w:before="240" w:line="276" w:lineRule="auto"/>
              <w:rPr>
                <w:i w:val="1"/>
              </w:rPr>
            </w:pPr>
            <w:r w:rsidDel="00000000" w:rsidR="00000000" w:rsidRPr="00000000">
              <w:rPr>
                <w:i w:val="1"/>
                <w:rtl w:val="0"/>
              </w:rPr>
              <w:t xml:space="preserve">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E">
            <w:pPr>
              <w:spacing w:before="240" w:line="276" w:lineRule="auto"/>
              <w:rPr>
                <w:i w:val="1"/>
              </w:rPr>
            </w:pPr>
            <w:r w:rsidDel="00000000" w:rsidR="00000000" w:rsidRPr="00000000">
              <w:rPr>
                <w:i w:val="1"/>
                <w:rtl w:val="0"/>
              </w:rPr>
              <w:t xml:space="preserve">3rd Qu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F">
            <w:pPr>
              <w:spacing w:before="240" w:line="276" w:lineRule="auto"/>
              <w:rPr>
                <w:i w:val="1"/>
              </w:rPr>
            </w:pPr>
            <w:r w:rsidDel="00000000" w:rsidR="00000000" w:rsidRPr="00000000">
              <w:rPr>
                <w:i w:val="1"/>
                <w:rtl w:val="0"/>
              </w:rPr>
              <w:t xml:space="preserve">Max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0">
            <w:pPr>
              <w:spacing w:before="240" w:line="276" w:lineRule="auto"/>
              <w:rPr>
                <w:i w:val="1"/>
              </w:rPr>
            </w:pPr>
            <w:r w:rsidDel="00000000" w:rsidR="00000000" w:rsidRPr="00000000">
              <w:rPr>
                <w:i w:val="1"/>
                <w:rtl w:val="0"/>
              </w:rPr>
              <w:t xml:space="preserve">SD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1">
            <w:pPr>
              <w:spacing w:before="240" w:line="276" w:lineRule="auto"/>
              <w:rPr>
                <w:i w:val="1"/>
              </w:rPr>
            </w:pPr>
            <w:r w:rsidDel="00000000" w:rsidR="00000000" w:rsidRPr="00000000">
              <w:rPr>
                <w:i w:val="1"/>
                <w:rtl w:val="0"/>
              </w:rPr>
              <w:t xml:space="preserve">npro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2">
            <w:pPr>
              <w:spacing w:before="240" w:line="276" w:lineRule="auto"/>
              <w:jc w:val="right"/>
              <w:rPr>
                <w:i w:val="1"/>
              </w:rPr>
            </w:pPr>
            <w:r w:rsidDel="00000000" w:rsidR="00000000" w:rsidRPr="00000000">
              <w:rPr>
                <w:i w:val="1"/>
                <w:rtl w:val="0"/>
              </w:rPr>
              <w:t xml:space="preserve">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3">
            <w:pPr>
              <w:spacing w:before="240" w:line="276" w:lineRule="auto"/>
              <w:jc w:val="right"/>
              <w:rPr>
                <w:i w:val="1"/>
              </w:rPr>
            </w:pPr>
            <w:r w:rsidDel="00000000" w:rsidR="00000000" w:rsidRPr="00000000">
              <w:rPr>
                <w:i w:val="1"/>
                <w:rtl w:val="0"/>
              </w:rPr>
              <w:t xml:space="preserve">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4">
            <w:pPr>
              <w:spacing w:before="240" w:line="276" w:lineRule="auto"/>
              <w:jc w:val="right"/>
              <w:rPr>
                <w:i w:val="1"/>
              </w:rPr>
            </w:pPr>
            <w:r w:rsidDel="00000000" w:rsidR="00000000" w:rsidRPr="00000000">
              <w:rPr>
                <w:i w:val="1"/>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5">
            <w:pPr>
              <w:spacing w:before="240" w:line="276" w:lineRule="auto"/>
              <w:jc w:val="right"/>
              <w:rPr>
                <w:i w:val="1"/>
              </w:rPr>
            </w:pPr>
            <w:r w:rsidDel="00000000" w:rsidR="00000000" w:rsidRPr="00000000">
              <w:rPr>
                <w:i w:val="1"/>
                <w:rtl w:val="0"/>
              </w:rPr>
              <w:t xml:space="preserve">61.63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6">
            <w:pPr>
              <w:spacing w:before="240" w:line="276" w:lineRule="auto"/>
              <w:jc w:val="right"/>
              <w:rPr>
                <w:i w:val="1"/>
              </w:rPr>
            </w:pPr>
            <w:r w:rsidDel="00000000" w:rsidR="00000000" w:rsidRPr="00000000">
              <w:rPr>
                <w:i w:val="1"/>
                <w:rtl w:val="0"/>
              </w:rPr>
              <w:t xml:space="preserve">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7">
            <w:pPr>
              <w:spacing w:before="240" w:line="276" w:lineRule="auto"/>
              <w:jc w:val="right"/>
              <w:rPr>
                <w:i w:val="1"/>
              </w:rPr>
            </w:pPr>
            <w:r w:rsidDel="00000000" w:rsidR="00000000" w:rsidRPr="00000000">
              <w:rPr>
                <w:i w:val="1"/>
                <w:rtl w:val="0"/>
              </w:rPr>
              <w:t xml:space="preserve">164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8">
            <w:pPr>
              <w:spacing w:before="240" w:line="276" w:lineRule="auto"/>
              <w:jc w:val="right"/>
              <w:rPr>
                <w:i w:val="1"/>
              </w:rPr>
            </w:pPr>
            <w:r w:rsidDel="00000000" w:rsidR="00000000" w:rsidRPr="00000000">
              <w:rPr>
                <w:i w:val="1"/>
                <w:rtl w:val="0"/>
              </w:rPr>
              <w:t xml:space="preserve">30.3848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9">
            <w:pPr>
              <w:spacing w:before="240" w:line="276" w:lineRule="auto"/>
              <w:rPr>
                <w:i w:val="1"/>
              </w:rPr>
            </w:pPr>
            <w:r w:rsidDel="00000000" w:rsidR="00000000" w:rsidRPr="00000000">
              <w:rPr>
                <w:i w:val="1"/>
                <w:rtl w:val="0"/>
              </w:rPr>
              <w:t xml:space="preserve">tgif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A">
            <w:pPr>
              <w:spacing w:before="240" w:line="276" w:lineRule="auto"/>
              <w:jc w:val="right"/>
              <w:rPr>
                <w:i w:val="1"/>
              </w:rPr>
            </w:pPr>
            <w:r w:rsidDel="00000000" w:rsidR="00000000" w:rsidRPr="00000000">
              <w:rPr>
                <w:i w:val="1"/>
                <w:rtl w:val="0"/>
              </w:rPr>
              <w:t xml:space="preserve">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B">
            <w:pPr>
              <w:spacing w:before="240" w:line="276" w:lineRule="auto"/>
              <w:jc w:val="right"/>
              <w:rPr>
                <w:i w:val="1"/>
              </w:rPr>
            </w:pPr>
            <w:r w:rsidDel="00000000" w:rsidR="00000000" w:rsidRPr="00000000">
              <w:rPr>
                <w:i w:val="1"/>
                <w:rtl w:val="0"/>
              </w:rPr>
              <w:t xml:space="preserve">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C">
            <w:pPr>
              <w:spacing w:before="240" w:line="276" w:lineRule="auto"/>
              <w:jc w:val="right"/>
              <w:rPr>
                <w:i w:val="1"/>
              </w:rPr>
            </w:pPr>
            <w:r w:rsidDel="00000000" w:rsidR="00000000" w:rsidRPr="00000000">
              <w:rPr>
                <w:i w:val="1"/>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D">
            <w:pPr>
              <w:spacing w:before="240" w:line="276" w:lineRule="auto"/>
              <w:jc w:val="right"/>
              <w:rPr>
                <w:i w:val="1"/>
              </w:rPr>
            </w:pPr>
            <w:r w:rsidDel="00000000" w:rsidR="00000000" w:rsidRPr="00000000">
              <w:rPr>
                <w:i w:val="1"/>
                <w:rtl w:val="0"/>
              </w:rPr>
              <w:t xml:space="preserve">116.7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E">
            <w:pPr>
              <w:spacing w:before="240" w:line="276" w:lineRule="auto"/>
              <w:jc w:val="right"/>
              <w:rPr>
                <w:i w:val="1"/>
              </w:rPr>
            </w:pPr>
            <w:r w:rsidDel="00000000" w:rsidR="00000000" w:rsidRPr="00000000">
              <w:rPr>
                <w:i w:val="1"/>
                <w:rtl w:val="0"/>
              </w:rPr>
              <w:t xml:space="preserve">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F">
            <w:pPr>
              <w:spacing w:before="240" w:line="276" w:lineRule="auto"/>
              <w:jc w:val="right"/>
              <w:rPr>
                <w:i w:val="1"/>
              </w:rPr>
            </w:pPr>
            <w:r w:rsidDel="00000000" w:rsidR="00000000" w:rsidRPr="00000000">
              <w:rPr>
                <w:i w:val="1"/>
                <w:rtl w:val="0"/>
              </w:rPr>
              <w:t xml:space="preserve">1974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0">
            <w:pPr>
              <w:spacing w:before="240" w:line="276" w:lineRule="auto"/>
              <w:jc w:val="right"/>
              <w:rPr>
                <w:i w:val="1"/>
              </w:rPr>
            </w:pPr>
            <w:r w:rsidDel="00000000" w:rsidR="00000000" w:rsidRPr="00000000">
              <w:rPr>
                <w:i w:val="1"/>
                <w:rtl w:val="0"/>
              </w:rPr>
              <w:t xml:space="preserve">85.5097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1">
            <w:pPr>
              <w:spacing w:before="240" w:line="276" w:lineRule="auto"/>
              <w:rPr>
                <w:i w:val="1"/>
              </w:rPr>
            </w:pPr>
            <w:r w:rsidDel="00000000" w:rsidR="00000000" w:rsidRPr="00000000">
              <w:rPr>
                <w:i w:val="1"/>
                <w:rtl w:val="0"/>
              </w:rPr>
              <w:t xml:space="preserve">lgif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2">
            <w:pPr>
              <w:spacing w:before="240" w:line="276" w:lineRule="auto"/>
              <w:jc w:val="right"/>
              <w:rPr>
                <w:i w:val="1"/>
              </w:rPr>
            </w:pPr>
            <w:r w:rsidDel="00000000" w:rsidR="00000000" w:rsidRPr="00000000">
              <w:rPr>
                <w:i w:val="1"/>
                <w:rtl w:val="0"/>
              </w:rPr>
              <w:t xml:space="preserve">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3">
            <w:pPr>
              <w:spacing w:before="240" w:line="276" w:lineRule="auto"/>
              <w:jc w:val="right"/>
              <w:rPr>
                <w:i w:val="1"/>
              </w:rPr>
            </w:pPr>
            <w:r w:rsidDel="00000000" w:rsidR="00000000" w:rsidRPr="00000000">
              <w:rPr>
                <w:i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4">
            <w:pPr>
              <w:spacing w:before="240" w:line="276" w:lineRule="auto"/>
              <w:jc w:val="right"/>
              <w:rPr>
                <w:i w:val="1"/>
              </w:rPr>
            </w:pPr>
            <w:r w:rsidDel="00000000" w:rsidR="00000000" w:rsidRPr="00000000">
              <w:rPr>
                <w:i w:val="1"/>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5">
            <w:pPr>
              <w:spacing w:before="240" w:line="276" w:lineRule="auto"/>
              <w:jc w:val="right"/>
              <w:rPr>
                <w:i w:val="1"/>
              </w:rPr>
            </w:pPr>
            <w:r w:rsidDel="00000000" w:rsidR="00000000" w:rsidRPr="00000000">
              <w:rPr>
                <w:i w:val="1"/>
                <w:rtl w:val="0"/>
              </w:rPr>
              <w:t xml:space="preserve">23.19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6">
            <w:pPr>
              <w:spacing w:before="240" w:line="276" w:lineRule="auto"/>
              <w:jc w:val="right"/>
              <w:rPr>
                <w:i w:val="1"/>
              </w:rPr>
            </w:pPr>
            <w:r w:rsidDel="00000000" w:rsidR="00000000" w:rsidRPr="00000000">
              <w:rPr>
                <w:i w:val="1"/>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7">
            <w:pPr>
              <w:spacing w:before="240" w:line="276" w:lineRule="auto"/>
              <w:jc w:val="right"/>
              <w:rPr>
                <w:i w:val="1"/>
              </w:rPr>
            </w:pPr>
            <w:r w:rsidDel="00000000" w:rsidR="00000000" w:rsidRPr="00000000">
              <w:rPr>
                <w:i w:val="1"/>
                <w:rtl w:val="0"/>
              </w:rPr>
              <w:t xml:space="preserve">642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8">
            <w:pPr>
              <w:spacing w:before="240" w:line="276" w:lineRule="auto"/>
              <w:jc w:val="right"/>
              <w:rPr>
                <w:i w:val="1"/>
              </w:rPr>
            </w:pPr>
            <w:r w:rsidDel="00000000" w:rsidR="00000000" w:rsidRPr="00000000">
              <w:rPr>
                <w:i w:val="1"/>
                <w:rtl w:val="0"/>
              </w:rPr>
              <w:t xml:space="preserve">30.6030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9">
            <w:pPr>
              <w:spacing w:before="240" w:line="276" w:lineRule="auto"/>
              <w:rPr>
                <w:i w:val="1"/>
              </w:rPr>
            </w:pPr>
            <w:r w:rsidDel="00000000" w:rsidR="00000000" w:rsidRPr="00000000">
              <w:rPr>
                <w:i w:val="1"/>
                <w:rtl w:val="0"/>
              </w:rPr>
              <w:t xml:space="preserve">rgif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A">
            <w:pPr>
              <w:spacing w:before="240" w:line="276" w:lineRule="auto"/>
              <w:jc w:val="right"/>
              <w:rPr>
                <w:i w:val="1"/>
              </w:rPr>
            </w:pPr>
            <w:r w:rsidDel="00000000" w:rsidR="00000000" w:rsidRPr="00000000">
              <w:rPr>
                <w:i w:val="1"/>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B">
            <w:pPr>
              <w:spacing w:before="240" w:line="276" w:lineRule="auto"/>
              <w:jc w:val="right"/>
              <w:rPr>
                <w:i w:val="1"/>
              </w:rPr>
            </w:pPr>
            <w:r w:rsidDel="00000000" w:rsidR="00000000" w:rsidRPr="00000000">
              <w:rPr>
                <w:i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C">
            <w:pPr>
              <w:spacing w:before="240" w:line="276" w:lineRule="auto"/>
              <w:jc w:val="right"/>
              <w:rPr>
                <w:i w:val="1"/>
              </w:rPr>
            </w:pPr>
            <w:r w:rsidDel="00000000" w:rsidR="00000000" w:rsidRPr="00000000">
              <w:rPr>
                <w:i w:val="1"/>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D">
            <w:pPr>
              <w:spacing w:before="240" w:line="276" w:lineRule="auto"/>
              <w:jc w:val="right"/>
              <w:rPr>
                <w:i w:val="1"/>
              </w:rPr>
            </w:pPr>
            <w:r w:rsidDel="00000000" w:rsidR="00000000" w:rsidRPr="00000000">
              <w:rPr>
                <w:i w:val="1"/>
                <w:rtl w:val="0"/>
              </w:rPr>
              <w:t xml:space="preserve">15.55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E">
            <w:pPr>
              <w:spacing w:before="240" w:line="276" w:lineRule="auto"/>
              <w:jc w:val="right"/>
              <w:rPr>
                <w:i w:val="1"/>
              </w:rPr>
            </w:pPr>
            <w:r w:rsidDel="00000000" w:rsidR="00000000" w:rsidRPr="00000000">
              <w:rPr>
                <w:i w:val="1"/>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F">
            <w:pPr>
              <w:spacing w:before="240" w:line="276" w:lineRule="auto"/>
              <w:jc w:val="right"/>
              <w:rPr>
                <w:i w:val="1"/>
              </w:rPr>
            </w:pPr>
            <w:r w:rsidDel="00000000" w:rsidR="00000000" w:rsidRPr="00000000">
              <w:rPr>
                <w:i w:val="1"/>
                <w:rtl w:val="0"/>
              </w:rPr>
              <w:t xml:space="preserve">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0">
            <w:pPr>
              <w:spacing w:before="240" w:line="276" w:lineRule="auto"/>
              <w:jc w:val="right"/>
              <w:rPr>
                <w:i w:val="1"/>
              </w:rPr>
            </w:pPr>
            <w:r w:rsidDel="00000000" w:rsidR="00000000" w:rsidRPr="00000000">
              <w:rPr>
                <w:i w:val="1"/>
                <w:rtl w:val="0"/>
              </w:rPr>
              <w:t xml:space="preserve">11.8427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1">
            <w:pPr>
              <w:spacing w:before="240" w:line="276" w:lineRule="auto"/>
              <w:rPr>
                <w:i w:val="1"/>
              </w:rPr>
            </w:pPr>
            <w:r w:rsidDel="00000000" w:rsidR="00000000" w:rsidRPr="00000000">
              <w:rPr>
                <w:i w:val="1"/>
                <w:rtl w:val="0"/>
              </w:rPr>
              <w:t xml:space="preserve">tdon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2">
            <w:pPr>
              <w:spacing w:before="240" w:line="276" w:lineRule="auto"/>
              <w:jc w:val="right"/>
              <w:rPr>
                <w:i w:val="1"/>
              </w:rPr>
            </w:pPr>
            <w:r w:rsidDel="00000000" w:rsidR="00000000" w:rsidRPr="00000000">
              <w:rPr>
                <w:i w:val="1"/>
                <w:rtl w:val="0"/>
              </w:rPr>
              <w:t xml:space="preserve">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3">
            <w:pPr>
              <w:spacing w:before="240" w:line="276" w:lineRule="auto"/>
              <w:jc w:val="right"/>
              <w:rPr>
                <w:i w:val="1"/>
              </w:rPr>
            </w:pPr>
            <w:r w:rsidDel="00000000" w:rsidR="00000000" w:rsidRPr="00000000">
              <w:rPr>
                <w:i w:val="1"/>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4">
            <w:pPr>
              <w:spacing w:before="240" w:line="276" w:lineRule="auto"/>
              <w:jc w:val="right"/>
              <w:rPr>
                <w:i w:val="1"/>
              </w:rPr>
            </w:pPr>
            <w:r w:rsidDel="00000000" w:rsidR="00000000" w:rsidRPr="00000000">
              <w:rPr>
                <w:i w:val="1"/>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5">
            <w:pPr>
              <w:spacing w:before="240" w:line="276" w:lineRule="auto"/>
              <w:jc w:val="right"/>
              <w:rPr>
                <w:i w:val="1"/>
              </w:rPr>
            </w:pPr>
            <w:r w:rsidDel="00000000" w:rsidR="00000000" w:rsidRPr="00000000">
              <w:rPr>
                <w:i w:val="1"/>
                <w:rtl w:val="0"/>
              </w:rPr>
              <w:t xml:space="preserve">18.81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6">
            <w:pPr>
              <w:spacing w:before="240" w:line="276" w:lineRule="auto"/>
              <w:jc w:val="right"/>
              <w:rPr>
                <w:i w:val="1"/>
              </w:rPr>
            </w:pPr>
            <w:r w:rsidDel="00000000" w:rsidR="00000000" w:rsidRPr="00000000">
              <w:rPr>
                <w:i w:val="1"/>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7">
            <w:pPr>
              <w:spacing w:before="240" w:line="276" w:lineRule="auto"/>
              <w:jc w:val="right"/>
              <w:rPr>
                <w:i w:val="1"/>
              </w:rPr>
            </w:pPr>
            <w:r w:rsidDel="00000000" w:rsidR="00000000" w:rsidRPr="00000000">
              <w:rPr>
                <w:i w:val="1"/>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8">
            <w:pPr>
              <w:spacing w:before="240" w:line="276" w:lineRule="auto"/>
              <w:jc w:val="right"/>
              <w:rPr>
                <w:i w:val="1"/>
              </w:rPr>
            </w:pPr>
            <w:r w:rsidDel="00000000" w:rsidR="00000000" w:rsidRPr="00000000">
              <w:rPr>
                <w:i w:val="1"/>
                <w:rtl w:val="0"/>
              </w:rPr>
              <w:t xml:space="preserve">5.2346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9">
            <w:pPr>
              <w:spacing w:before="240" w:line="276" w:lineRule="auto"/>
              <w:rPr>
                <w:i w:val="1"/>
              </w:rPr>
            </w:pPr>
            <w:r w:rsidDel="00000000" w:rsidR="00000000" w:rsidRPr="00000000">
              <w:rPr>
                <w:i w:val="1"/>
                <w:rtl w:val="0"/>
              </w:rPr>
              <w:t xml:space="preserve">tlag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A">
            <w:pPr>
              <w:spacing w:before="240" w:line="276" w:lineRule="auto"/>
              <w:jc w:val="right"/>
              <w:rPr>
                <w:i w:val="1"/>
              </w:rPr>
            </w:pPr>
            <w:r w:rsidDel="00000000" w:rsidR="00000000" w:rsidRPr="00000000">
              <w:rPr>
                <w:i w:val="1"/>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B">
            <w:pPr>
              <w:spacing w:before="240" w:line="276" w:lineRule="auto"/>
              <w:jc w:val="right"/>
              <w:rPr>
                <w:i w:val="1"/>
              </w:rPr>
            </w:pPr>
            <w:r w:rsidDel="00000000" w:rsidR="00000000" w:rsidRPr="00000000">
              <w:rPr>
                <w:i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C">
            <w:pPr>
              <w:spacing w:before="240" w:line="276" w:lineRule="auto"/>
              <w:jc w:val="right"/>
              <w:rPr>
                <w:i w:val="1"/>
              </w:rPr>
            </w:pPr>
            <w:r w:rsidDel="00000000" w:rsidR="00000000" w:rsidRPr="00000000">
              <w:rPr>
                <w:i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D">
            <w:pPr>
              <w:spacing w:before="240" w:line="276" w:lineRule="auto"/>
              <w:jc w:val="right"/>
              <w:rPr>
                <w:i w:val="1"/>
              </w:rPr>
            </w:pPr>
            <w:r w:rsidDel="00000000" w:rsidR="00000000" w:rsidRPr="00000000">
              <w:rPr>
                <w:i w:val="1"/>
                <w:rtl w:val="0"/>
              </w:rPr>
              <w:t xml:space="preserve">6.302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E">
            <w:pPr>
              <w:spacing w:before="240" w:line="276" w:lineRule="auto"/>
              <w:jc w:val="right"/>
              <w:rPr>
                <w:i w:val="1"/>
              </w:rPr>
            </w:pPr>
            <w:r w:rsidDel="00000000" w:rsidR="00000000" w:rsidRPr="00000000">
              <w:rPr>
                <w:i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F">
            <w:pPr>
              <w:spacing w:before="240" w:line="276" w:lineRule="auto"/>
              <w:jc w:val="right"/>
              <w:rPr>
                <w:i w:val="1"/>
              </w:rPr>
            </w:pPr>
            <w:r w:rsidDel="00000000" w:rsidR="00000000" w:rsidRPr="00000000">
              <w:rPr>
                <w:i w:val="1"/>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0">
            <w:pPr>
              <w:spacing w:before="240" w:line="276" w:lineRule="auto"/>
              <w:jc w:val="right"/>
              <w:rPr>
                <w:i w:val="1"/>
              </w:rPr>
            </w:pPr>
            <w:r w:rsidDel="00000000" w:rsidR="00000000" w:rsidRPr="00000000">
              <w:rPr>
                <w:i w:val="1"/>
                <w:rtl w:val="0"/>
              </w:rPr>
              <w:t xml:space="preserve">3.9052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1">
            <w:pPr>
              <w:spacing w:before="240" w:line="276" w:lineRule="auto"/>
              <w:rPr>
                <w:i w:val="1"/>
              </w:rPr>
            </w:pPr>
            <w:r w:rsidDel="00000000" w:rsidR="00000000" w:rsidRPr="00000000">
              <w:rPr>
                <w:i w:val="1"/>
                <w:rtl w:val="0"/>
              </w:rPr>
              <w:t xml:space="preserve">agif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2">
            <w:pPr>
              <w:spacing w:before="240" w:line="276" w:lineRule="auto"/>
              <w:jc w:val="right"/>
              <w:rPr>
                <w:i w:val="1"/>
              </w:rPr>
            </w:pPr>
            <w:r w:rsidDel="00000000" w:rsidR="00000000" w:rsidRPr="00000000">
              <w:rPr>
                <w:i w:val="1"/>
                <w:rtl w:val="0"/>
              </w:rPr>
              <w:t xml:space="preserve">1.890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3">
            <w:pPr>
              <w:spacing w:before="240" w:line="276" w:lineRule="auto"/>
              <w:jc w:val="right"/>
              <w:rPr>
                <w:i w:val="1"/>
              </w:rPr>
            </w:pPr>
            <w:r w:rsidDel="00000000" w:rsidR="00000000" w:rsidRPr="00000000">
              <w:rPr>
                <w:i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4">
            <w:pPr>
              <w:spacing w:before="240" w:line="276" w:lineRule="auto"/>
              <w:jc w:val="right"/>
              <w:rPr>
                <w:i w:val="1"/>
              </w:rPr>
            </w:pPr>
            <w:r w:rsidDel="00000000" w:rsidR="00000000" w:rsidRPr="00000000">
              <w:rPr>
                <w:i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5">
            <w:pPr>
              <w:spacing w:before="240" w:line="276" w:lineRule="auto"/>
              <w:jc w:val="right"/>
              <w:rPr>
                <w:i w:val="1"/>
              </w:rPr>
            </w:pPr>
            <w:r w:rsidDel="00000000" w:rsidR="00000000" w:rsidRPr="00000000">
              <w:rPr>
                <w:i w:val="1"/>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6">
            <w:pPr>
              <w:spacing w:before="240" w:line="276" w:lineRule="auto"/>
              <w:jc w:val="right"/>
              <w:rPr>
                <w:i w:val="1"/>
              </w:rPr>
            </w:pPr>
            <w:r w:rsidDel="00000000" w:rsidR="00000000" w:rsidRPr="00000000">
              <w:rPr>
                <w:i w:val="1"/>
                <w:rtl w:val="0"/>
              </w:rPr>
              <w:t xml:space="preserve">14.79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7">
            <w:pPr>
              <w:spacing w:before="240" w:line="276" w:lineRule="auto"/>
              <w:jc w:val="right"/>
              <w:rPr>
                <w:i w:val="1"/>
              </w:rPr>
            </w:pPr>
            <w:r w:rsidDel="00000000" w:rsidR="00000000" w:rsidRPr="00000000">
              <w:rPr>
                <w:i w:val="1"/>
                <w:rtl w:val="0"/>
              </w:rPr>
              <w:t xml:space="preserve">64.22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8">
            <w:pPr>
              <w:spacing w:before="240" w:line="276" w:lineRule="auto"/>
              <w:jc w:val="right"/>
              <w:rPr>
                <w:i w:val="1"/>
              </w:rPr>
            </w:pPr>
            <w:r w:rsidDel="00000000" w:rsidR="00000000" w:rsidRPr="00000000">
              <w:rPr>
                <w:i w:val="1"/>
                <w:rtl w:val="0"/>
              </w:rPr>
              <w:t xml:space="preserve">6.4996</w:t>
            </w:r>
          </w:p>
        </w:tc>
      </w:tr>
    </w:tbl>
    <w:p w:rsidR="00000000" w:rsidDel="00000000" w:rsidP="00000000" w:rsidRDefault="00000000" w:rsidRPr="00000000" w14:paraId="00000159">
      <w:pPr>
        <w:spacing w:line="240" w:lineRule="auto"/>
        <w:rPr>
          <w:i w:val="1"/>
        </w:rPr>
      </w:pP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rtl w:val="0"/>
        </w:rPr>
        <w:t xml:space="preserve">The correlation matrix for these variables is not very promising. Npro, tgif, and </w:t>
      </w:r>
      <w:r w:rsidDel="00000000" w:rsidR="00000000" w:rsidRPr="00000000">
        <w:rPr>
          <w:rtl w:val="0"/>
        </w:rPr>
        <w:t xml:space="preserve">tlag</w:t>
      </w:r>
      <w:r w:rsidDel="00000000" w:rsidR="00000000" w:rsidRPr="00000000">
        <w:rPr>
          <w:rtl w:val="0"/>
        </w:rPr>
        <w:t xml:space="preserve"> are the only variables with somewhat of a correlation to donr (0.14, 0.16, and -0.13 respectively). Damt has stronger correlations, but they are all below 0.2. There are also very high correlations between agif and </w:t>
      </w:r>
      <w:r w:rsidDel="00000000" w:rsidR="00000000" w:rsidRPr="00000000">
        <w:rPr>
          <w:rtl w:val="0"/>
        </w:rPr>
        <w:t xml:space="preserve">lgi</w:t>
      </w:r>
      <w:r w:rsidDel="00000000" w:rsidR="00000000" w:rsidRPr="00000000">
        <w:rPr>
          <w:rtl w:val="0"/>
        </w:rPr>
        <w:t xml:space="preserve">f and rgif (0.85 and 0.78 respectively). </w:t>
      </w:r>
    </w:p>
    <w:p w:rsidR="00000000" w:rsidDel="00000000" w:rsidP="00000000" w:rsidRDefault="00000000" w:rsidRPr="00000000" w14:paraId="0000015B">
      <w:pPr>
        <w:spacing w:line="240" w:lineRule="auto"/>
        <w:rPr>
          <w:i w:val="1"/>
        </w:rPr>
      </w:pPr>
      <w:r w:rsidDel="00000000" w:rsidR="00000000" w:rsidRPr="00000000">
        <w:rPr>
          <w:i w:val="1"/>
        </w:rPr>
        <w:drawing>
          <wp:inline distB="114300" distT="114300" distL="114300" distR="114300">
            <wp:extent cx="5695950" cy="3150319"/>
            <wp:effectExtent b="0" l="0" r="0" t="0"/>
            <wp:docPr id="11" name="image1.png"/>
            <a:graphic>
              <a:graphicData uri="http://schemas.openxmlformats.org/drawingml/2006/picture">
                <pic:pic>
                  <pic:nvPicPr>
                    <pic:cNvPr id="0" name="image1.png"/>
                    <pic:cNvPicPr preferRelativeResize="0"/>
                  </pic:nvPicPr>
                  <pic:blipFill>
                    <a:blip r:embed="rId10"/>
                    <a:srcRect b="9308" l="0" r="0" t="10218"/>
                    <a:stretch>
                      <a:fillRect/>
                    </a:stretch>
                  </pic:blipFill>
                  <pic:spPr>
                    <a:xfrm>
                      <a:off x="0" y="0"/>
                      <a:ext cx="5695950" cy="3150319"/>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4"/>
        <w:spacing w:line="240" w:lineRule="auto"/>
        <w:rPr/>
      </w:pPr>
      <w:bookmarkStart w:colFirst="0" w:colLast="0" w:name="_syc4peyxqkgo" w:id="8"/>
      <w:bookmarkEnd w:id="8"/>
      <w:r w:rsidDel="00000000" w:rsidR="00000000" w:rsidRPr="00000000">
        <w:rPr>
          <w:rtl w:val="0"/>
        </w:rPr>
        <w:t xml:space="preserve">General Trends in Predictors</w:t>
      </w:r>
    </w:p>
    <w:p w:rsidR="00000000" w:rsidDel="00000000" w:rsidP="00000000" w:rsidRDefault="00000000" w:rsidRPr="00000000" w14:paraId="0000015D">
      <w:pPr>
        <w:spacing w:line="240" w:lineRule="auto"/>
        <w:rPr>
          <w:i w:val="1"/>
        </w:rPr>
      </w:pPr>
      <w:r w:rsidDel="00000000" w:rsidR="00000000" w:rsidRPr="00000000">
        <w:rPr>
          <w:i w:val="1"/>
          <w:rtl w:val="0"/>
        </w:rPr>
        <w:tab/>
      </w:r>
      <w:r w:rsidDel="00000000" w:rsidR="00000000" w:rsidRPr="00000000">
        <w:rPr>
          <w:rtl w:val="0"/>
        </w:rPr>
        <w:t xml:space="preserve">This section will cover the density plots and boxplots (for categorical variables) to show their distribution. The density plots show several notable right skews in the data that may need correction. Agif, inca, incm, lgif, rgif, tgif and tlag are notable examples of such a potential right skew. The only distributions that appear to be somewhat normal are avhv, damt (excluding zeroes), hinc (if it were smoothed), npro, and tdon.</w:t>
      </w:r>
      <w:r w:rsidDel="00000000" w:rsidR="00000000" w:rsidRPr="00000000">
        <w:rPr>
          <w:rtl w:val="0"/>
        </w:rPr>
      </w:r>
    </w:p>
    <w:p w:rsidR="00000000" w:rsidDel="00000000" w:rsidP="00000000" w:rsidRDefault="00000000" w:rsidRPr="00000000" w14:paraId="0000015E">
      <w:pPr>
        <w:spacing w:line="240" w:lineRule="auto"/>
        <w:rPr>
          <w:i w:val="1"/>
        </w:rPr>
      </w:pPr>
      <w:r w:rsidDel="00000000" w:rsidR="00000000" w:rsidRPr="00000000">
        <w:rPr>
          <w:i w:val="1"/>
        </w:rPr>
        <w:drawing>
          <wp:inline distB="114300" distT="114300" distL="114300" distR="114300">
            <wp:extent cx="5300663" cy="364724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00663" cy="364724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rtl w:val="0"/>
        </w:rPr>
        <w:t xml:space="preserve">The box plots for the categorical variables show similar information to the distribution plots but do a better job of capturing the bins. </w:t>
      </w:r>
    </w:p>
    <w:p w:rsidR="00000000" w:rsidDel="00000000" w:rsidP="00000000" w:rsidRDefault="00000000" w:rsidRPr="00000000" w14:paraId="00000160">
      <w:pPr>
        <w:spacing w:line="240" w:lineRule="auto"/>
        <w:rPr>
          <w:i w:val="1"/>
        </w:rPr>
      </w:pPr>
      <w:r w:rsidDel="00000000" w:rsidR="00000000" w:rsidRPr="00000000">
        <w:rPr>
          <w:i w:val="1"/>
        </w:rPr>
        <w:drawing>
          <wp:inline distB="114300" distT="114300" distL="114300" distR="114300">
            <wp:extent cx="4424363" cy="3030642"/>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24363" cy="303064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3"/>
        <w:spacing w:after="240" w:before="240" w:line="240" w:lineRule="auto"/>
        <w:rPr/>
      </w:pPr>
      <w:bookmarkStart w:colFirst="0" w:colLast="0" w:name="_pc5vt8roy2op" w:id="9"/>
      <w:bookmarkEnd w:id="9"/>
      <w:r w:rsidDel="00000000" w:rsidR="00000000" w:rsidRPr="00000000">
        <w:rPr>
          <w:rtl w:val="0"/>
        </w:rPr>
        <w:t xml:space="preserve">Data Preparation</w:t>
      </w:r>
    </w:p>
    <w:p w:rsidR="00000000" w:rsidDel="00000000" w:rsidP="00000000" w:rsidRDefault="00000000" w:rsidRPr="00000000" w14:paraId="00000162">
      <w:pPr>
        <w:spacing w:after="240" w:before="240" w:line="240" w:lineRule="auto"/>
        <w:ind w:firstLine="720"/>
        <w:rPr/>
      </w:pPr>
      <w:r w:rsidDel="00000000" w:rsidR="00000000" w:rsidRPr="00000000">
        <w:rPr>
          <w:rtl w:val="0"/>
        </w:rPr>
        <w:t xml:space="preserve">The data for predictor and response variables in the training and validation sets was fully complete, not missing any observations.  As such, we have retained all observations in an attempt to extract the most amount of information as is possible from the data.  Also weighing into this decision to keep all observations was the lack of extreme outliers from the explanatory variables in the training set.  In our opinion, the mean and median values for continuous quantitative values were close enough to each other, removing the need to eliminate observations from the data.  For example, the median of the training observations for the average gift amount (agif) was 10.22 while the mean average gift amount was 11.66.  Various other predictor variables such as average home value (avhv) showed similar behavior, with the median average home value of 171 and a mean average home value of 185.2.  These figures suggest that many of the continuous economic data variables are skewed right, but the value of observations at the far right of the distribution does not skew the whole distribution enough to warrant removing outliers.  Lastly, and more intuitively, the decision to retain observations at the right of the distribution was influenced by the fact that in the business of charity and fundraising, often the most important benefactors for a cause are those individuals with high income, high home value, and large past gifting amounts.  Simply put, those with the most economic resources have the most to donate.  As such, removing right outliers has the potential to systematically underestimate projected donation amounts in any subsequent modeling.</w:t>
      </w:r>
    </w:p>
    <w:p w:rsidR="00000000" w:rsidDel="00000000" w:rsidP="00000000" w:rsidRDefault="00000000" w:rsidRPr="00000000" w14:paraId="00000163">
      <w:pPr>
        <w:spacing w:after="240" w:before="240" w:line="240" w:lineRule="auto"/>
        <w:ind w:firstLine="720"/>
        <w:rPr/>
      </w:pPr>
      <w:r w:rsidDel="00000000" w:rsidR="00000000" w:rsidRPr="00000000">
        <w:rPr>
          <w:rtl w:val="0"/>
        </w:rPr>
        <w:t xml:space="preserve">Given our decision to retain all observations, we do recognize the right skewness in many of the continuous economic variables.  As a remedy, we have taken the log of the variables that showed more acute right skewness to produce a distribution that more closely resembles a normal distribution.  Specifically, we have dropped the variables avhv, incm, inca, tgif, and </w:t>
      </w:r>
      <w:r w:rsidDel="00000000" w:rsidR="00000000" w:rsidRPr="00000000">
        <w:rPr>
          <w:rtl w:val="0"/>
        </w:rPr>
        <w:t xml:space="preserve">agif</w:t>
      </w:r>
      <w:r w:rsidDel="00000000" w:rsidR="00000000" w:rsidRPr="00000000">
        <w:rPr>
          <w:rtl w:val="0"/>
        </w:rPr>
        <w:t xml:space="preserve"> from our analysis, replacing them with the log of each variable, respectively.  We also create a new variable called financial wellness that is intended to proxy the financial health of a potential donor relative to that donor’s historic financial position.  The variable is calculated as the most recent gift amount (rgif) divided by the largest gift amount (lgif) if lgif is not zero, zero otherwise.  Larger ratios should indicate recent upward financial mobility and increased ability to donate whereas lower ratios should indicate recent financial hardship and less ability to donate.  </w:t>
      </w:r>
    </w:p>
    <w:p w:rsidR="00000000" w:rsidDel="00000000" w:rsidP="00000000" w:rsidRDefault="00000000" w:rsidRPr="00000000" w14:paraId="00000164">
      <w:pPr>
        <w:spacing w:after="240" w:before="240" w:line="240" w:lineRule="auto"/>
        <w:ind w:firstLine="720"/>
        <w:rPr>
          <w:i w:val="1"/>
        </w:rPr>
      </w:pPr>
      <w:r w:rsidDel="00000000" w:rsidR="00000000" w:rsidRPr="00000000">
        <w:rPr>
          <w:rtl w:val="0"/>
        </w:rPr>
        <w:t xml:space="preserve">Categorical and ranking variables also revealed some interesting results in our exploratory data analysis (EDA).  Based on the training data, families with one child or less showed a vastly improved likelihood of donating.  Knowing this, we have created a new dummy variable that returns true if a family has zero or one child, and false if the family has more than one child.  Along the same school of thought, the seven categories of the hinc (household income) variable showed an increased likelihood of donating in the training data when the household falls into sections 3, 4, and 5 of income categories.  We have created a new dummy variable that returns true if the hinc category is 3, 4, or 5 and false otherwise.  Lastly, our EDA revealed the wrat (wealth rating) variable to have significant explanatory power in determining if an observation is a donor.  Thus, we have created a third new dummy variable that returns true if the wealth rating is six or above and returns false for wealth categories less than six.</w:t>
      </w:r>
      <w:r w:rsidDel="00000000" w:rsidR="00000000" w:rsidRPr="00000000">
        <w:rPr>
          <w:rtl w:val="0"/>
        </w:rPr>
      </w:r>
    </w:p>
    <w:p w:rsidR="00000000" w:rsidDel="00000000" w:rsidP="00000000" w:rsidRDefault="00000000" w:rsidRPr="00000000" w14:paraId="00000165">
      <w:pPr>
        <w:pStyle w:val="Heading3"/>
        <w:spacing w:after="240" w:before="240" w:line="240" w:lineRule="auto"/>
        <w:rPr/>
      </w:pPr>
      <w:bookmarkStart w:colFirst="0" w:colLast="0" w:name="_ukyp308vfruv" w:id="10"/>
      <w:bookmarkEnd w:id="10"/>
      <w:r w:rsidDel="00000000" w:rsidR="00000000" w:rsidRPr="00000000">
        <w:rPr>
          <w:i w:val="1"/>
          <w:rtl w:val="0"/>
        </w:rPr>
        <w:t xml:space="preserve"> </w:t>
      </w:r>
      <w:r w:rsidDel="00000000" w:rsidR="00000000" w:rsidRPr="00000000">
        <w:rPr>
          <w:rtl w:val="0"/>
        </w:rPr>
        <w:t xml:space="preserve">Classification Models</w:t>
      </w:r>
    </w:p>
    <w:p w:rsidR="00000000" w:rsidDel="00000000" w:rsidP="00000000" w:rsidRDefault="00000000" w:rsidRPr="00000000" w14:paraId="00000166">
      <w:pPr>
        <w:spacing w:after="240" w:before="240" w:line="240" w:lineRule="auto"/>
        <w:rPr>
          <w:i w:val="1"/>
        </w:rPr>
      </w:pPr>
      <w:r w:rsidDel="00000000" w:rsidR="00000000" w:rsidRPr="00000000">
        <w:rPr>
          <w:u w:val="single"/>
          <w:rtl w:val="0"/>
        </w:rPr>
        <w:tab/>
      </w:r>
      <w:r w:rsidDel="00000000" w:rsidR="00000000" w:rsidRPr="00000000">
        <w:rPr>
          <w:rtl w:val="0"/>
        </w:rPr>
        <w:t xml:space="preserve">In this section, we developed various classification models on the variable DONR. There were 10 types of models considered for this section. All data were standardized before the models were run. All models were fit on the training data set and tested on the validation set to maximize the potential profit from a mailing using the model. Several models used hinc^2 as a factor as it increased the accuracy of the models. The rankings for the models are described in the table below:</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665"/>
        <w:gridCol w:w="1125"/>
        <w:gridCol w:w="1425"/>
        <w:gridCol w:w="2130"/>
        <w:tblGridChange w:id="0">
          <w:tblGrid>
            <w:gridCol w:w="3015"/>
            <w:gridCol w:w="1665"/>
            <w:gridCol w:w="1125"/>
            <w:gridCol w:w="1425"/>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i w:val="1"/>
              </w:rPr>
            </w:pPr>
            <w:r w:rsidDel="00000000" w:rsidR="00000000" w:rsidRPr="00000000">
              <w:rPr>
                <w:i w:val="1"/>
                <w:rtl w:val="0"/>
              </w:rPr>
              <w:t xml:space="preserve">Maximum Profit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i w:val="1"/>
              </w:rPr>
            </w:pPr>
            <w:r w:rsidDel="00000000" w:rsidR="00000000" w:rsidRPr="00000000">
              <w:rPr>
                <w:i w:val="1"/>
                <w:rtl w:val="0"/>
              </w:rPr>
              <w:t xml:space="preserve">$11948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KNN (using 100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0.7909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i w:val="1"/>
              </w:rPr>
            </w:pPr>
            <w:r w:rsidDel="00000000" w:rsidR="00000000" w:rsidRPr="00000000">
              <w:rPr>
                <w:i w:val="1"/>
                <w:rtl w:val="0"/>
              </w:rPr>
              <w:t xml:space="preserve">$11863.5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Logit GAM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0.7168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i w:val="1"/>
              </w:rPr>
            </w:pPr>
            <w:r w:rsidDel="00000000" w:rsidR="00000000" w:rsidRPr="00000000">
              <w:rPr>
                <w:i w:val="1"/>
                <w:rtl w:val="0"/>
              </w:rPr>
              <w:t xml:space="preserve">$11674.5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0.7377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i w:val="1"/>
              </w:rPr>
            </w:pPr>
            <w:r w:rsidDel="00000000" w:rsidR="00000000" w:rsidRPr="00000000">
              <w:rPr>
                <w:i w:val="1"/>
                <w:rtl w:val="0"/>
              </w:rPr>
              <w:t xml:space="preserve">$11635.5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0.7249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i w:val="1"/>
              </w:rPr>
            </w:pPr>
            <w:r w:rsidDel="00000000" w:rsidR="00000000" w:rsidRPr="00000000">
              <w:rPr>
                <w:i w:val="1"/>
                <w:rtl w:val="0"/>
              </w:rPr>
              <w:t xml:space="preserve">$11635.5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0.7957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i w:val="1"/>
              </w:rPr>
            </w:pPr>
            <w:r w:rsidDel="00000000" w:rsidR="00000000" w:rsidRPr="00000000">
              <w:rPr>
                <w:i w:val="1"/>
                <w:rtl w:val="0"/>
              </w:rPr>
              <w:t xml:space="preserve">$11627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Support Vector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0.7206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i w:val="1"/>
              </w:rPr>
            </w:pPr>
            <w:r w:rsidDel="00000000" w:rsidR="00000000" w:rsidRPr="00000000">
              <w:rPr>
                <w:i w:val="1"/>
                <w:rtl w:val="0"/>
              </w:rPr>
              <w:t xml:space="preserve">$11599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i w:val="1"/>
              </w:rPr>
            </w:pPr>
            <w:r w:rsidDel="00000000" w:rsidR="00000000" w:rsidRPr="00000000">
              <w:rPr>
                <w:i w:val="1"/>
                <w:rtl w:val="0"/>
              </w:rPr>
              <w:t xml:space="preserve">$11579.5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0.7045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0.7820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i w:val="1"/>
              </w:rPr>
            </w:pPr>
            <w:r w:rsidDel="00000000" w:rsidR="00000000" w:rsidRPr="00000000">
              <w:rPr>
                <w:i w:val="1"/>
                <w:rtl w:val="0"/>
              </w:rPr>
              <w:t xml:space="preserve">$11261.5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0.8702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i w:val="1"/>
              </w:rPr>
            </w:pPr>
            <w:r w:rsidDel="00000000" w:rsidR="00000000" w:rsidRPr="00000000">
              <w:rPr>
                <w:i w:val="1"/>
                <w:rtl w:val="0"/>
              </w:rPr>
              <w:t xml:space="preserve">$10720.5</w:t>
            </w:r>
          </w:p>
        </w:tc>
      </w:tr>
    </w:tbl>
    <w:p w:rsidR="00000000" w:rsidDel="00000000" w:rsidP="00000000" w:rsidRDefault="00000000" w:rsidRPr="00000000" w14:paraId="0000019E">
      <w:pPr>
        <w:spacing w:after="240" w:before="240" w:line="240" w:lineRule="auto"/>
        <w:rPr/>
      </w:pPr>
      <w:r w:rsidDel="00000000" w:rsidR="00000000" w:rsidRPr="00000000">
        <w:rPr>
          <w:rtl w:val="0"/>
        </w:rPr>
        <w:t xml:space="preserve">The Boosting model has the highest profit ($11948) and the best accuracy (88.45%). Interestingly, the Decision Tree model has the highest precision (86.02%), but the lowest maximum profit. This is likely due to the model also having the lowest amount of mail sent out. The boosting model maintains the second-highest precision out of all of the models. Overall the model is the best in the terms of the important metrics and is still strong on secondary metrics. The confusion matrix for the model and maximum profit chart for the model are below.</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Validation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Boost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992</w:t>
            </w:r>
          </w:p>
        </w:tc>
      </w:tr>
    </w:tbl>
    <w:p w:rsidR="00000000" w:rsidDel="00000000" w:rsidP="00000000" w:rsidRDefault="00000000" w:rsidRPr="00000000" w14:paraId="000001A9">
      <w:pPr>
        <w:spacing w:after="240" w:before="240" w:line="240" w:lineRule="auto"/>
        <w:rPr/>
      </w:pPr>
      <w:r w:rsidDel="00000000" w:rsidR="00000000" w:rsidRPr="00000000">
        <w:rPr>
          <w:rtl w:val="0"/>
        </w:rPr>
        <w:t xml:space="preserve">The confusion matrix shows the high accuracy and precision of the model while also highlighting the nearly perfect precision rate of 99.30%</w:t>
      </w:r>
    </w:p>
    <w:p w:rsidR="00000000" w:rsidDel="00000000" w:rsidP="00000000" w:rsidRDefault="00000000" w:rsidRPr="00000000" w14:paraId="000001AA">
      <w:pPr>
        <w:spacing w:after="240" w:before="240" w:line="240" w:lineRule="auto"/>
        <w:rPr/>
      </w:pPr>
      <w:r w:rsidDel="00000000" w:rsidR="00000000" w:rsidRPr="00000000">
        <w:rPr/>
        <w:drawing>
          <wp:inline distB="114300" distT="114300" distL="114300" distR="114300">
            <wp:extent cx="3567113" cy="2970682"/>
            <wp:effectExtent b="0" l="0" r="0" t="0"/>
            <wp:docPr id="2" name="image8.png"/>
            <a:graphic>
              <a:graphicData uri="http://schemas.openxmlformats.org/drawingml/2006/picture">
                <pic:pic>
                  <pic:nvPicPr>
                    <pic:cNvPr id="0" name="image8.png"/>
                    <pic:cNvPicPr preferRelativeResize="0"/>
                  </pic:nvPicPr>
                  <pic:blipFill>
                    <a:blip r:embed="rId13"/>
                    <a:srcRect b="2496" l="0" r="2884" t="2905"/>
                    <a:stretch>
                      <a:fillRect/>
                    </a:stretch>
                  </pic:blipFill>
                  <pic:spPr>
                    <a:xfrm>
                      <a:off x="0" y="0"/>
                      <a:ext cx="3567113" cy="2970682"/>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240" w:before="240" w:line="240" w:lineRule="auto"/>
        <w:rPr/>
      </w:pPr>
      <w:r w:rsidDel="00000000" w:rsidR="00000000" w:rsidRPr="00000000">
        <w:rPr>
          <w:rtl w:val="0"/>
        </w:rPr>
        <w:t xml:space="preserve">The maximum profit chart for the model shows that $12,000 is approximately the limit of the model based on changes in the amount of mail sent. As our model has $11,948 in profit, we are maximizing the potential profit.</w:t>
      </w:r>
    </w:p>
    <w:p w:rsidR="00000000" w:rsidDel="00000000" w:rsidP="00000000" w:rsidRDefault="00000000" w:rsidRPr="00000000" w14:paraId="000001AC">
      <w:pPr>
        <w:spacing w:after="240" w:before="240" w:line="240" w:lineRule="auto"/>
        <w:rPr/>
      </w:pPr>
      <w:r w:rsidDel="00000000" w:rsidR="00000000" w:rsidRPr="00000000">
        <w:rPr/>
        <w:drawing>
          <wp:inline distB="114300" distT="114300" distL="114300" distR="114300">
            <wp:extent cx="4081463" cy="3287650"/>
            <wp:effectExtent b="0" l="0" r="0" t="0"/>
            <wp:docPr id="5" name="image6.png"/>
            <a:graphic>
              <a:graphicData uri="http://schemas.openxmlformats.org/drawingml/2006/picture">
                <pic:pic>
                  <pic:nvPicPr>
                    <pic:cNvPr id="0" name="image6.png"/>
                    <pic:cNvPicPr preferRelativeResize="0"/>
                  </pic:nvPicPr>
                  <pic:blipFill>
                    <a:blip r:embed="rId14"/>
                    <a:srcRect b="1675" l="3205" r="3685" t="11173"/>
                    <a:stretch>
                      <a:fillRect/>
                    </a:stretch>
                  </pic:blipFill>
                  <pic:spPr>
                    <a:xfrm>
                      <a:off x="0" y="0"/>
                      <a:ext cx="4081463" cy="328765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240" w:before="240" w:line="240" w:lineRule="auto"/>
        <w:rPr/>
      </w:pPr>
      <w:r w:rsidDel="00000000" w:rsidR="00000000" w:rsidRPr="00000000">
        <w:rPr>
          <w:rtl w:val="0"/>
        </w:rPr>
        <w:t xml:space="preserve">The above chart shows that chld (37.1767 relative influence) has the most influence by a wide margin, followed by hinc^2 (12.5564 relative influence), reg2 (10.1990 relative influence), home (8.6808 relative influence), and wrat (6.6267 relative influence). After these five variables, there is a large drop in influence. </w:t>
      </w:r>
      <w:r w:rsidDel="00000000" w:rsidR="00000000" w:rsidRPr="00000000">
        <w:rPr>
          <w:rtl w:val="0"/>
        </w:rPr>
      </w:r>
    </w:p>
    <w:p w:rsidR="00000000" w:rsidDel="00000000" w:rsidP="00000000" w:rsidRDefault="00000000" w:rsidRPr="00000000" w14:paraId="000001AE">
      <w:pPr>
        <w:pStyle w:val="Heading3"/>
        <w:spacing w:after="240" w:before="240" w:line="240" w:lineRule="auto"/>
        <w:rPr/>
      </w:pPr>
      <w:bookmarkStart w:colFirst="0" w:colLast="0" w:name="_v9fud5oevun8" w:id="11"/>
      <w:bookmarkEnd w:id="11"/>
      <w:r w:rsidDel="00000000" w:rsidR="00000000" w:rsidRPr="00000000">
        <w:rPr>
          <w:rtl w:val="0"/>
        </w:rPr>
      </w:r>
    </w:p>
    <w:p w:rsidR="00000000" w:rsidDel="00000000" w:rsidP="00000000" w:rsidRDefault="00000000" w:rsidRPr="00000000" w14:paraId="000001AF">
      <w:pPr>
        <w:pStyle w:val="Heading3"/>
        <w:spacing w:after="240" w:before="240" w:line="240" w:lineRule="auto"/>
        <w:rPr/>
      </w:pPr>
      <w:bookmarkStart w:colFirst="0" w:colLast="0" w:name="_32e72greqmis" w:id="12"/>
      <w:bookmarkEnd w:id="12"/>
      <w:r w:rsidDel="00000000" w:rsidR="00000000" w:rsidRPr="00000000">
        <w:rPr>
          <w:rtl w:val="0"/>
        </w:rPr>
      </w:r>
    </w:p>
    <w:p w:rsidR="00000000" w:rsidDel="00000000" w:rsidP="00000000" w:rsidRDefault="00000000" w:rsidRPr="00000000" w14:paraId="000001B0">
      <w:pPr>
        <w:pStyle w:val="Heading3"/>
        <w:spacing w:after="240" w:before="240" w:line="240" w:lineRule="auto"/>
        <w:rPr/>
      </w:pPr>
      <w:bookmarkStart w:colFirst="0" w:colLast="0" w:name="_lfg0xd8gz3iv" w:id="13"/>
      <w:bookmarkEnd w:id="13"/>
      <w:r w:rsidDel="00000000" w:rsidR="00000000" w:rsidRPr="00000000">
        <w:rPr>
          <w:rtl w:val="0"/>
        </w:rPr>
      </w:r>
    </w:p>
    <w:p w:rsidR="00000000" w:rsidDel="00000000" w:rsidP="00000000" w:rsidRDefault="00000000" w:rsidRPr="00000000" w14:paraId="000001B1">
      <w:pPr>
        <w:pStyle w:val="Heading3"/>
        <w:spacing w:after="240" w:before="240" w:line="240" w:lineRule="auto"/>
        <w:rPr/>
      </w:pPr>
      <w:bookmarkStart w:colFirst="0" w:colLast="0" w:name="_j1cugo9svw3" w:id="14"/>
      <w:bookmarkEnd w:id="14"/>
      <w:r w:rsidDel="00000000" w:rsidR="00000000" w:rsidRPr="00000000">
        <w:rPr>
          <w:rtl w:val="0"/>
        </w:rPr>
      </w:r>
    </w:p>
    <w:p w:rsidR="00000000" w:rsidDel="00000000" w:rsidP="00000000" w:rsidRDefault="00000000" w:rsidRPr="00000000" w14:paraId="000001B2">
      <w:pPr>
        <w:pStyle w:val="Heading3"/>
        <w:spacing w:after="240" w:before="240" w:line="240" w:lineRule="auto"/>
        <w:rPr/>
      </w:pPr>
      <w:bookmarkStart w:colFirst="0" w:colLast="0" w:name="_cljdd9f6la1j" w:id="15"/>
      <w:bookmarkEnd w:id="15"/>
      <w:r w:rsidDel="00000000" w:rsidR="00000000" w:rsidRPr="00000000">
        <w:rPr>
          <w:rtl w:val="0"/>
        </w:rPr>
      </w:r>
    </w:p>
    <w:p w:rsidR="00000000" w:rsidDel="00000000" w:rsidP="00000000" w:rsidRDefault="00000000" w:rsidRPr="00000000" w14:paraId="000001B3">
      <w:pPr>
        <w:pStyle w:val="Heading3"/>
        <w:spacing w:after="240" w:before="240" w:line="240" w:lineRule="auto"/>
        <w:rPr/>
      </w:pPr>
      <w:bookmarkStart w:colFirst="0" w:colLast="0" w:name="_q2atja9b6g86" w:id="16"/>
      <w:bookmarkEnd w:id="16"/>
      <w:r w:rsidDel="00000000" w:rsidR="00000000" w:rsidRPr="00000000">
        <w:rPr>
          <w:rtl w:val="0"/>
        </w:rPr>
      </w:r>
    </w:p>
    <w:p w:rsidR="00000000" w:rsidDel="00000000" w:rsidP="00000000" w:rsidRDefault="00000000" w:rsidRPr="00000000" w14:paraId="000001B4">
      <w:pPr>
        <w:pStyle w:val="Heading3"/>
        <w:spacing w:after="240" w:before="240" w:line="240" w:lineRule="auto"/>
        <w:rPr/>
      </w:pPr>
      <w:bookmarkStart w:colFirst="0" w:colLast="0" w:name="_hxrokv8wpw1t" w:id="17"/>
      <w:bookmarkEnd w:id="17"/>
      <w:r w:rsidDel="00000000" w:rsidR="00000000" w:rsidRPr="00000000">
        <w:rPr>
          <w:rtl w:val="0"/>
        </w:rPr>
      </w:r>
    </w:p>
    <w:p w:rsidR="00000000" w:rsidDel="00000000" w:rsidP="00000000" w:rsidRDefault="00000000" w:rsidRPr="00000000" w14:paraId="000001B5">
      <w:pPr>
        <w:pStyle w:val="Heading3"/>
        <w:spacing w:after="240" w:before="240" w:line="240" w:lineRule="auto"/>
        <w:rPr/>
      </w:pPr>
      <w:bookmarkStart w:colFirst="0" w:colLast="0" w:name="_vk55hjpx8ysq" w:id="18"/>
      <w:bookmarkEnd w:id="18"/>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spacing w:after="240" w:before="240" w:line="240" w:lineRule="auto"/>
        <w:rPr/>
      </w:pPr>
      <w:bookmarkStart w:colFirst="0" w:colLast="0" w:name="_h1hapn8khxzj" w:id="19"/>
      <w:bookmarkEnd w:id="19"/>
      <w:r w:rsidDel="00000000" w:rsidR="00000000" w:rsidRPr="00000000">
        <w:rPr>
          <w:rtl w:val="0"/>
        </w:rPr>
        <w:t xml:space="preserve">Prediction Models</w:t>
      </w:r>
    </w:p>
    <w:p w:rsidR="00000000" w:rsidDel="00000000" w:rsidP="00000000" w:rsidRDefault="00000000" w:rsidRPr="00000000" w14:paraId="000001B8">
      <w:pPr>
        <w:spacing w:after="240" w:before="240" w:line="240" w:lineRule="auto"/>
        <w:rPr/>
      </w:pPr>
      <w:r w:rsidDel="00000000" w:rsidR="00000000" w:rsidRPr="00000000">
        <w:rPr>
          <w:rtl w:val="0"/>
        </w:rPr>
        <w:t xml:space="preserve">            In this section, we developed various prediction models on the variable DAMT.  The models considered were ordinary least squares (OLS) regression on the full set of variables, best subset selection with 10-fold cross-validation, principal components regression, partial least squares regression, ridge regression, the lasso model, boosting, best subset selection using BIC criteria, and a random forest model.  All models were first fit on the training data and subsequently assessed and ranked based on the criteria of mean squared error resulting from predicting the validation data set.</w:t>
      </w:r>
    </w:p>
    <w:p w:rsidR="00000000" w:rsidDel="00000000" w:rsidP="00000000" w:rsidRDefault="00000000" w:rsidRPr="00000000" w14:paraId="000001B9">
      <w:pPr>
        <w:spacing w:after="240" w:before="240" w:line="240" w:lineRule="auto"/>
        <w:rPr/>
      </w:pPr>
      <w:r w:rsidDel="00000000" w:rsidR="00000000" w:rsidRPr="00000000">
        <w:rPr/>
        <w:drawing>
          <wp:inline distB="114300" distT="114300" distL="114300" distR="114300">
            <wp:extent cx="5347652" cy="2468147"/>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47652" cy="2468147"/>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after="240" w:before="240" w:line="240" w:lineRule="auto"/>
        <w:ind w:firstLine="720"/>
        <w:rPr/>
      </w:pPr>
      <w:r w:rsidDel="00000000" w:rsidR="00000000" w:rsidRPr="00000000">
        <w:rPr>
          <w:rtl w:val="0"/>
        </w:rPr>
        <w:t xml:space="preserve">From the table above, you can see that the random forest model is the best fit on the validation data set, having the smallest MSE.  However, the standard error from this model is significantly higher than all other models that were considered.  These results indicate that the random forest model has low bias and high variance, possibly overfitting the data.  The Lasso model is only marginally weaker in terms of mean square error ranking, yet, it has a substantially lower standard error in the context of these models that were considered.  As such, the most robust model appears to be the Lasso model.  However, given the criteria in the project to find the regression model with the lowest MSE, random forest is our best prediction model selection.</w:t>
      </w:r>
    </w:p>
    <w:p w:rsidR="00000000" w:rsidDel="00000000" w:rsidP="00000000" w:rsidRDefault="00000000" w:rsidRPr="00000000" w14:paraId="000001BB">
      <w:pPr>
        <w:spacing w:after="240" w:before="240" w:line="240" w:lineRule="auto"/>
        <w:ind w:firstLine="720"/>
        <w:rPr/>
      </w:pPr>
      <w:r w:rsidDel="00000000" w:rsidR="00000000" w:rsidRPr="00000000">
        <w:rPr>
          <w:rtl w:val="0"/>
        </w:rPr>
        <w:t xml:space="preserve">The chart below shows a scoring of variable importance in the random forest model, ranked by two metrics.  The first metric is %IncMSE, which represents the percentage increase in MSE if that variable is removed from the model.  The second is IncNodePurity, which represents the total decrease in node purity from that variable, averaged over all trees created in the random forest model. By both metrics, it is clear that the variables with the greatest explanatory power are reg4, rgif, lgif, chid, and </w:t>
      </w:r>
      <w:r w:rsidDel="00000000" w:rsidR="00000000" w:rsidRPr="00000000">
        <w:rPr>
          <w:rtl w:val="0"/>
        </w:rPr>
        <w:t xml:space="preserve">agifLog</w:t>
      </w:r>
      <w:r w:rsidDel="00000000" w:rsidR="00000000" w:rsidRPr="00000000">
        <w:rPr>
          <w:rtl w:val="0"/>
        </w:rPr>
        <w:t xml:space="preserve">.</w:t>
      </w:r>
    </w:p>
    <w:p w:rsidR="00000000" w:rsidDel="00000000" w:rsidP="00000000" w:rsidRDefault="00000000" w:rsidRPr="00000000" w14:paraId="000001BC">
      <w:pPr>
        <w:spacing w:after="240" w:before="240" w:line="240" w:lineRule="auto"/>
        <w:rPr/>
      </w:pPr>
      <w:r w:rsidDel="00000000" w:rsidR="00000000" w:rsidRPr="00000000">
        <w:rPr/>
        <w:drawing>
          <wp:inline distB="114300" distT="114300" distL="114300" distR="114300">
            <wp:extent cx="4314825" cy="2957513"/>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1482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240" w:before="240" w:line="240" w:lineRule="auto"/>
        <w:rPr/>
      </w:pPr>
      <w:r w:rsidDel="00000000" w:rsidR="00000000" w:rsidRPr="00000000">
        <w:rPr>
          <w:rtl w:val="0"/>
        </w:rPr>
        <w:t xml:space="preserve">The lasso model, with its strong MSE ranking, also exhibits a variable selection mechanism.  Below are the coefficient estimates for the lasso model, ranked by absolute value.  We can see the most important variables in the lasso model overlap with the random forest model, including: </w:t>
      </w:r>
      <w:r w:rsidDel="00000000" w:rsidR="00000000" w:rsidRPr="00000000">
        <w:rPr>
          <w:rtl w:val="0"/>
        </w:rPr>
        <w:t xml:space="preserve">agifLog</w:t>
      </w:r>
      <w:r w:rsidDel="00000000" w:rsidR="00000000" w:rsidRPr="00000000">
        <w:rPr>
          <w:rtl w:val="0"/>
        </w:rPr>
        <w:t xml:space="preserve">, reg4, child, hinc, and rgif.</w:t>
      </w:r>
    </w:p>
    <w:p w:rsidR="00000000" w:rsidDel="00000000" w:rsidP="00000000" w:rsidRDefault="00000000" w:rsidRPr="00000000" w14:paraId="000001BE">
      <w:pPr>
        <w:spacing w:after="240" w:before="240" w:line="240" w:lineRule="auto"/>
        <w:rPr/>
      </w:pPr>
      <w:r w:rsidDel="00000000" w:rsidR="00000000" w:rsidRPr="00000000">
        <w:rPr/>
        <w:drawing>
          <wp:inline distB="114300" distT="114300" distL="114300" distR="114300">
            <wp:extent cx="4529138" cy="2193801"/>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529138" cy="2193801"/>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240" w:before="240" w:line="240" w:lineRule="auto"/>
        <w:rPr/>
      </w:pPr>
      <w:r w:rsidDel="00000000" w:rsidR="00000000" w:rsidRPr="00000000">
        <w:rPr>
          <w:rtl w:val="0"/>
        </w:rPr>
      </w:r>
    </w:p>
    <w:p w:rsidR="00000000" w:rsidDel="00000000" w:rsidP="00000000" w:rsidRDefault="00000000" w:rsidRPr="00000000" w14:paraId="000001C0">
      <w:pPr>
        <w:spacing w:after="240" w:before="240" w:line="240" w:lineRule="auto"/>
        <w:rPr/>
      </w:pPr>
      <w:r w:rsidDel="00000000" w:rsidR="00000000" w:rsidRPr="00000000">
        <w:rPr>
          <w:rtl w:val="0"/>
        </w:rPr>
      </w:r>
    </w:p>
    <w:p w:rsidR="00000000" w:rsidDel="00000000" w:rsidP="00000000" w:rsidRDefault="00000000" w:rsidRPr="00000000" w14:paraId="000001C1">
      <w:pPr>
        <w:spacing w:after="240" w:before="240" w:line="240" w:lineRule="auto"/>
        <w:rPr/>
      </w:pPr>
      <w:r w:rsidDel="00000000" w:rsidR="00000000" w:rsidRPr="00000000">
        <w:rPr>
          <w:rtl w:val="0"/>
        </w:rPr>
      </w:r>
    </w:p>
    <w:p w:rsidR="00000000" w:rsidDel="00000000" w:rsidP="00000000" w:rsidRDefault="00000000" w:rsidRPr="00000000" w14:paraId="000001C2">
      <w:pPr>
        <w:spacing w:after="240" w:before="240" w:line="240" w:lineRule="auto"/>
        <w:rPr/>
      </w:pPr>
      <w:r w:rsidDel="00000000" w:rsidR="00000000" w:rsidRPr="00000000">
        <w:rPr>
          <w:rtl w:val="0"/>
        </w:rPr>
      </w:r>
    </w:p>
    <w:p w:rsidR="00000000" w:rsidDel="00000000" w:rsidP="00000000" w:rsidRDefault="00000000" w:rsidRPr="00000000" w14:paraId="000001C3">
      <w:pPr>
        <w:spacing w:after="240" w:before="240" w:line="240" w:lineRule="auto"/>
        <w:rPr/>
      </w:pPr>
      <w:r w:rsidDel="00000000" w:rsidR="00000000" w:rsidRPr="00000000">
        <w:rPr>
          <w:rtl w:val="0"/>
        </w:rPr>
      </w:r>
    </w:p>
    <w:p w:rsidR="00000000" w:rsidDel="00000000" w:rsidP="00000000" w:rsidRDefault="00000000" w:rsidRPr="00000000" w14:paraId="000001C4">
      <w:pPr>
        <w:spacing w:after="240" w:before="240" w:line="240" w:lineRule="auto"/>
        <w:rPr/>
      </w:pPr>
      <w:r w:rsidDel="00000000" w:rsidR="00000000" w:rsidRPr="00000000">
        <w:rPr>
          <w:rtl w:val="0"/>
        </w:rPr>
      </w:r>
    </w:p>
    <w:p w:rsidR="00000000" w:rsidDel="00000000" w:rsidP="00000000" w:rsidRDefault="00000000" w:rsidRPr="00000000" w14:paraId="000001C5">
      <w:pPr>
        <w:pStyle w:val="Heading3"/>
        <w:spacing w:line="240" w:lineRule="auto"/>
        <w:rPr/>
      </w:pPr>
      <w:bookmarkStart w:colFirst="0" w:colLast="0" w:name="_pjvvi8twwo8f" w:id="20"/>
      <w:bookmarkEnd w:id="20"/>
      <w:r w:rsidDel="00000000" w:rsidR="00000000" w:rsidRPr="00000000">
        <w:rPr>
          <w:rtl w:val="0"/>
        </w:rPr>
        <w:t xml:space="preserve">Results &amp; Conclusion</w:t>
      </w:r>
    </w:p>
    <w:p w:rsidR="00000000" w:rsidDel="00000000" w:rsidP="00000000" w:rsidRDefault="00000000" w:rsidRPr="00000000" w14:paraId="000001C6">
      <w:pPr>
        <w:spacing w:line="240" w:lineRule="auto"/>
        <w:ind w:firstLine="720"/>
        <w:rPr/>
      </w:pPr>
      <w:r w:rsidDel="00000000" w:rsidR="00000000" w:rsidRPr="00000000">
        <w:rPr>
          <w:rtl w:val="0"/>
        </w:rPr>
      </w:r>
    </w:p>
    <w:p w:rsidR="00000000" w:rsidDel="00000000" w:rsidP="00000000" w:rsidRDefault="00000000" w:rsidRPr="00000000" w14:paraId="000001C7">
      <w:pPr>
        <w:spacing w:line="240" w:lineRule="auto"/>
        <w:ind w:firstLine="720"/>
        <w:rPr/>
      </w:pPr>
      <w:r w:rsidDel="00000000" w:rsidR="00000000" w:rsidRPr="00000000">
        <w:rPr>
          <w:rtl w:val="0"/>
        </w:rPr>
        <w:t xml:space="preserve">We get the best results for boosting in the classification model and Random Forest in the prediction model using maximum profit and validation mean-squared error as the respective selection criteria. The boosting classification model predicts a maximum profit of $11948 based on sending out 1218 mailings. The prediction model has a validation set mean squared error of 1.662364 with a validation set standard error of 0.1733396. </w:t>
      </w:r>
    </w:p>
    <w:p w:rsidR="00000000" w:rsidDel="00000000" w:rsidP="00000000" w:rsidRDefault="00000000" w:rsidRPr="00000000" w14:paraId="000001C8">
      <w:pPr>
        <w:spacing w:line="240" w:lineRule="auto"/>
        <w:rPr/>
      </w:pPr>
      <w:r w:rsidDel="00000000" w:rsidR="00000000" w:rsidRPr="00000000">
        <w:rPr>
          <w:rtl w:val="0"/>
        </w:rPr>
      </w:r>
    </w:p>
    <w:p w:rsidR="00000000" w:rsidDel="00000000" w:rsidP="00000000" w:rsidRDefault="00000000" w:rsidRPr="00000000" w14:paraId="000001C9">
      <w:pPr>
        <w:spacing w:line="240" w:lineRule="auto"/>
        <w:rPr/>
      </w:pPr>
      <w:r w:rsidDel="00000000" w:rsidR="00000000" w:rsidRPr="00000000">
        <w:rPr>
          <w:rtl w:val="0"/>
        </w:rPr>
        <w:tab/>
        <w:t xml:space="preserve">The classification model predicts a response rate 0f 14.45%. This is 44.5% higher than the predicted response rate before the model was implemented (10%). The prediction model predicts an average donation of $14.22 across the test data set. This yields expected profits of  </w:t>
      </w:r>
    </w:p>
    <w:p w:rsidR="00000000" w:rsidDel="00000000" w:rsidP="00000000" w:rsidRDefault="00000000" w:rsidRPr="00000000" w14:paraId="000001CA">
      <w:pPr>
        <w:spacing w:line="240" w:lineRule="auto"/>
        <w:jc w:val="center"/>
        <w:rPr/>
      </w:pPr>
      <w:r w:rsidDel="00000000" w:rsidR="00000000" w:rsidRPr="00000000">
        <w:rPr>
          <w:rtl w:val="0"/>
        </w:rPr>
        <w:t xml:space="preserve">$14.22*0.1445 - 2 = $0.05</w:t>
      </w:r>
    </w:p>
    <w:p w:rsidR="00000000" w:rsidDel="00000000" w:rsidP="00000000" w:rsidRDefault="00000000" w:rsidRPr="00000000" w14:paraId="000001CB">
      <w:pPr>
        <w:spacing w:line="240" w:lineRule="auto"/>
        <w:rPr/>
      </w:pPr>
      <w:r w:rsidDel="00000000" w:rsidR="00000000" w:rsidRPr="00000000">
        <w:rPr>
          <w:rtl w:val="0"/>
        </w:rPr>
        <w:t xml:space="preserve">If we restrict the mailing to only classification outcomes of expected donors, the average donation increases to $14.45. This yields the expected profits of</w:t>
      </w:r>
    </w:p>
    <w:p w:rsidR="00000000" w:rsidDel="00000000" w:rsidP="00000000" w:rsidRDefault="00000000" w:rsidRPr="00000000" w14:paraId="000001CC">
      <w:pPr>
        <w:spacing w:line="240" w:lineRule="auto"/>
        <w:jc w:val="center"/>
        <w:rPr/>
      </w:pPr>
      <w:r w:rsidDel="00000000" w:rsidR="00000000" w:rsidRPr="00000000">
        <w:rPr>
          <w:rtl w:val="0"/>
        </w:rPr>
        <w:t xml:space="preserve">$14.45*0.1445 - 2 = $0.09</w:t>
      </w:r>
    </w:p>
    <w:p w:rsidR="00000000" w:rsidDel="00000000" w:rsidP="00000000" w:rsidRDefault="00000000" w:rsidRPr="00000000" w14:paraId="000001CD">
      <w:pPr>
        <w:spacing w:line="240" w:lineRule="auto"/>
        <w:rPr/>
      </w:pPr>
      <w:r w:rsidDel="00000000" w:rsidR="00000000" w:rsidRPr="00000000">
        <w:rPr>
          <w:rtl w:val="0"/>
        </w:rPr>
        <w:t xml:space="preserve">While the above number may seem low, it is better than the $0.55 loss that was expected before the models were implemented. Overall the implementation of the boosting model for classifications and the random forest model for predictions have raised the maximum profit for sending out mailers significantly and the models even make it economically viable to send mailers out to a wider assortment of people. </w:t>
      </w:r>
    </w:p>
    <w:p w:rsidR="00000000" w:rsidDel="00000000" w:rsidP="00000000" w:rsidRDefault="00000000" w:rsidRPr="00000000" w14:paraId="000001CE">
      <w:pPr>
        <w:spacing w:line="240" w:lineRule="auto"/>
        <w:rPr/>
      </w:pPr>
      <w:r w:rsidDel="00000000" w:rsidR="00000000" w:rsidRPr="00000000">
        <w:rPr>
          <w:rtl w:val="0"/>
        </w:rPr>
      </w:r>
    </w:p>
    <w:sectPr>
      <w:headerReference r:id="rId18" w:type="default"/>
      <w:head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jc w:val="right"/>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