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CB031" w14:textId="259B9925" w:rsidR="005D521B" w:rsidRPr="005D521B" w:rsidRDefault="00196A4B" w:rsidP="244525F4">
      <w:pPr>
        <w:pStyle w:val="ListParagraph"/>
        <w:numPr>
          <w:ilvl w:val="0"/>
          <w:numId w:val="13"/>
        </w:numPr>
        <w:spacing w:after="0"/>
        <w:ind w:left="426"/>
        <w:rPr>
          <w:rFonts w:eastAsiaTheme="minorEastAsia"/>
          <w:b/>
          <w:bCs/>
          <w:i/>
          <w:iCs/>
          <w:color w:val="000000" w:themeColor="text1"/>
          <w:lang w:eastAsia="en-AU"/>
        </w:rPr>
      </w:pPr>
      <w:r w:rsidRPr="244525F4">
        <w:rPr>
          <w:b/>
          <w:bCs/>
          <w:sz w:val="24"/>
          <w:szCs w:val="24"/>
        </w:rPr>
        <w:t>Project</w:t>
      </w:r>
      <w:r w:rsidRPr="244525F4">
        <w:rPr>
          <w:b/>
          <w:bCs/>
        </w:rPr>
        <w:t xml:space="preserve"> </w:t>
      </w:r>
      <w:r w:rsidRPr="244525F4">
        <w:rPr>
          <w:b/>
          <w:bCs/>
          <w:sz w:val="24"/>
          <w:szCs w:val="24"/>
        </w:rPr>
        <w:t>title</w:t>
      </w:r>
      <w:r w:rsidRPr="244525F4">
        <w:rPr>
          <w:b/>
          <w:bCs/>
        </w:rPr>
        <w:t xml:space="preserve">:   </w:t>
      </w:r>
      <w:proofErr w:type="spellStart"/>
      <w:r w:rsidR="0888BA88" w:rsidRPr="244525F4">
        <w:rPr>
          <w:b/>
          <w:bCs/>
        </w:rPr>
        <w:t>jooo</w:t>
      </w:r>
      <w:proofErr w:type="gramStart"/>
      <w:r w:rsidR="0888BA88" w:rsidRPr="244525F4">
        <w:rPr>
          <w:b/>
          <w:bCs/>
        </w:rPr>
        <w:t>;oi</w:t>
      </w:r>
      <w:proofErr w:type="gramEnd"/>
      <w:r w:rsidR="0888BA88" w:rsidRPr="244525F4">
        <w:rPr>
          <w:b/>
          <w:bCs/>
        </w:rPr>
        <w:t>;</w:t>
      </w:r>
      <w:r w:rsidR="005D521B" w:rsidRPr="244525F4">
        <w:rPr>
          <w:rFonts w:eastAsia="Times New Roman"/>
          <w:i/>
          <w:iCs/>
          <w:color w:val="000000" w:themeColor="text1"/>
          <w:lang w:eastAsia="en-AU"/>
        </w:rPr>
        <w:t>D</w:t>
      </w:r>
      <w:proofErr w:type="spellEnd"/>
      <w:r w:rsidR="005D521B" w:rsidRPr="244525F4">
        <w:rPr>
          <w:rFonts w:eastAsia="Times New Roman"/>
          <w:i/>
          <w:iCs/>
          <w:color w:val="000000" w:themeColor="text1"/>
          <w:lang w:eastAsia="en-AU"/>
        </w:rPr>
        <w:t xml:space="preserve"> numbers for any COVID19-specific risk analyses relevant to your work/lab/equipment/procedures.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319"/>
      </w:tblGrid>
      <w:tr w:rsidR="005D521B" w14:paraId="13EE0486" w14:textId="77777777" w:rsidTr="244525F4">
        <w:tc>
          <w:tcPr>
            <w:tcW w:w="10319" w:type="dxa"/>
          </w:tcPr>
          <w:p w14:paraId="5110FE06" w14:textId="04CC2A26" w:rsidR="005D521B" w:rsidRDefault="00D07ECC" w:rsidP="244525F4">
            <w:pPr>
              <w:pStyle w:val="ListParagraph"/>
              <w:ind w:left="426"/>
              <w:rPr>
                <w:rFonts w:eastAsia="Times New Roman"/>
                <w:color w:val="000000"/>
                <w:lang w:eastAsia="en-AU"/>
              </w:rPr>
            </w:pPr>
            <w:r w:rsidRPr="00D07ECC">
              <w:rPr>
                <w:rFonts w:eastAsia="Times New Roman"/>
                <w:color w:val="000000" w:themeColor="text1"/>
                <w:lang w:eastAsia="en-AU"/>
              </w:rPr>
              <w:t>The effect of handgrip on sprint-cycling performance</w:t>
            </w:r>
          </w:p>
        </w:tc>
      </w:tr>
    </w:tbl>
    <w:p w14:paraId="77093671" w14:textId="77777777" w:rsidR="005D521B" w:rsidRPr="005D521B" w:rsidRDefault="005D521B" w:rsidP="005D521B">
      <w:pPr>
        <w:pStyle w:val="ListParagraph"/>
        <w:ind w:left="426"/>
        <w:rPr>
          <w:rFonts w:eastAsia="Times New Roman" w:cstheme="minorHAnsi"/>
          <w:color w:val="000000"/>
          <w:lang w:eastAsia="en-AU"/>
        </w:rPr>
      </w:pPr>
    </w:p>
    <w:p w14:paraId="1A818CF4" w14:textId="77777777" w:rsidR="005D521B" w:rsidRPr="005D521B" w:rsidRDefault="005D521B" w:rsidP="005D521B">
      <w:pPr>
        <w:pStyle w:val="ListParagraph"/>
        <w:spacing w:before="100" w:beforeAutospacing="1" w:after="100" w:afterAutospacing="1" w:line="240" w:lineRule="auto"/>
        <w:ind w:left="426"/>
        <w:rPr>
          <w:rFonts w:eastAsia="Times New Roman" w:cstheme="minorHAnsi"/>
          <w:color w:val="000000"/>
          <w:lang w:eastAsia="en-AU"/>
        </w:rPr>
      </w:pPr>
    </w:p>
    <w:p w14:paraId="4FA2A822" w14:textId="77777777" w:rsidR="005D521B" w:rsidRDefault="005D521B" w:rsidP="244525F4">
      <w:pPr>
        <w:pStyle w:val="ListParagraph"/>
        <w:numPr>
          <w:ilvl w:val="0"/>
          <w:numId w:val="13"/>
        </w:numPr>
        <w:shd w:val="clear" w:color="auto" w:fill="FFFF00"/>
        <w:ind w:left="426"/>
        <w:rPr>
          <w:b/>
          <w:bCs/>
          <w:sz w:val="24"/>
          <w:szCs w:val="24"/>
        </w:rPr>
      </w:pPr>
      <w:r w:rsidRPr="244525F4">
        <w:rPr>
          <w:b/>
          <w:bCs/>
          <w:sz w:val="24"/>
          <w:szCs w:val="24"/>
        </w:rPr>
        <w:t>Risk analysis and Mitigation plan table</w:t>
      </w:r>
    </w:p>
    <w:p w14:paraId="21FFD708" w14:textId="2C86EF9A" w:rsidR="00196A4B" w:rsidRPr="005D521B" w:rsidRDefault="00196A4B" w:rsidP="005D521B">
      <w:pPr>
        <w:rPr>
          <w:b/>
          <w:sz w:val="24"/>
          <w:szCs w:val="24"/>
        </w:rPr>
      </w:pPr>
      <w:r w:rsidRPr="005D521B">
        <w:rPr>
          <w:i/>
          <w:sz w:val="24"/>
          <w:szCs w:val="24"/>
        </w:rPr>
        <w:t>See example below and add rows as necessary</w:t>
      </w:r>
    </w:p>
    <w:tbl>
      <w:tblPr>
        <w:tblW w:w="10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1903"/>
        <w:gridCol w:w="6521"/>
      </w:tblGrid>
      <w:tr w:rsidR="00196A4B" w:rsidRPr="009667E3" w14:paraId="247437A4" w14:textId="77777777" w:rsidTr="1DB6C074">
        <w:trPr>
          <w:trHeight w:val="692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D3DD" w:themeFill="text2" w:themeFillTint="3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90F2B" w14:textId="77777777" w:rsidR="00196A4B" w:rsidRPr="00C93E91" w:rsidRDefault="00196A4B" w:rsidP="00AE69BD">
            <w:pPr>
              <w:rPr>
                <w:b/>
              </w:rPr>
            </w:pPr>
            <w:r w:rsidRPr="00C93E91">
              <w:rPr>
                <w:b/>
              </w:rPr>
              <w:t>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D3DD" w:themeFill="text2" w:themeFillTint="3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7C679" w14:textId="77777777" w:rsidR="00196A4B" w:rsidRPr="00C93E91" w:rsidRDefault="00196A4B" w:rsidP="00AE69BD">
            <w:pPr>
              <w:rPr>
                <w:b/>
              </w:rPr>
            </w:pPr>
            <w:r w:rsidRPr="00C93E91">
              <w:rPr>
                <w:b/>
              </w:rPr>
              <w:t>Risk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D3DD" w:themeFill="text2" w:themeFillTint="3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618DA" w14:textId="77777777" w:rsidR="00196A4B" w:rsidRPr="00C93E91" w:rsidRDefault="00196A4B" w:rsidP="00AE69BD">
            <w:pPr>
              <w:rPr>
                <w:b/>
              </w:rPr>
            </w:pPr>
            <w:r w:rsidRPr="00C93E91">
              <w:rPr>
                <w:b/>
              </w:rPr>
              <w:t>Mitigation plan</w:t>
            </w:r>
          </w:p>
        </w:tc>
      </w:tr>
      <w:tr w:rsidR="00196A4B" w:rsidRPr="009667E3" w14:paraId="08EFE1D0" w14:textId="77777777" w:rsidTr="1DB6C074">
        <w:trPr>
          <w:trHeight w:val="361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75D41" w14:textId="649AB402" w:rsidR="00196A4B" w:rsidRPr="00EC52E2" w:rsidRDefault="00EC52E2" w:rsidP="00AE69BD">
            <w:pPr>
              <w:rPr>
                <w:sz w:val="20"/>
              </w:rPr>
            </w:pPr>
            <w:r w:rsidRPr="00EC52E2">
              <w:rPr>
                <w:sz w:val="20"/>
              </w:rPr>
              <w:t>Healthy participants who are experienced at cycling will visit the laboratory, have sensors</w:t>
            </w:r>
            <w:r>
              <w:rPr>
                <w:sz w:val="20"/>
              </w:rPr>
              <w:t>, electrodes</w:t>
            </w:r>
            <w:r w:rsidRPr="00EC52E2">
              <w:rPr>
                <w:sz w:val="20"/>
              </w:rPr>
              <w:t xml:space="preserve"> and makers attached to them and then </w:t>
            </w:r>
            <w:r>
              <w:rPr>
                <w:sz w:val="20"/>
              </w:rPr>
              <w:t xml:space="preserve">they will cycle on an ergometer, undertaking a light warm up, followed by 12 x maximum </w:t>
            </w:r>
            <w:proofErr w:type="spellStart"/>
            <w:r>
              <w:rPr>
                <w:sz w:val="20"/>
              </w:rPr>
              <w:t>effot</w:t>
            </w:r>
            <w:proofErr w:type="spellEnd"/>
            <w:r>
              <w:rPr>
                <w:sz w:val="20"/>
              </w:rPr>
              <w:t xml:space="preserve">, 5-second sprints.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155CF" w14:textId="1090312C" w:rsidR="00196A4B" w:rsidRPr="00EC52E2" w:rsidRDefault="00EC52E2" w:rsidP="00AE69BD">
            <w:pPr>
              <w:rPr>
                <w:sz w:val="20"/>
              </w:rPr>
            </w:pPr>
            <w:r w:rsidRPr="00EC52E2">
              <w:rPr>
                <w:sz w:val="20"/>
              </w:rPr>
              <w:t>Risk of COVID-19 transmission via face-to-face exposure and lab space sharing between experimenter and participant.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E07B2" w14:textId="77777777" w:rsidR="000F1FFA" w:rsidRDefault="00D025D3" w:rsidP="00AE69BD">
            <w:pPr>
              <w:rPr>
                <w:sz w:val="20"/>
              </w:rPr>
            </w:pPr>
            <w:r>
              <w:rPr>
                <w:sz w:val="20"/>
              </w:rPr>
              <w:t>We will follow the</w:t>
            </w:r>
            <w:r w:rsidR="000F1FFA">
              <w:rPr>
                <w:sz w:val="20"/>
              </w:rPr>
              <w:t xml:space="preserve"> guidelines in the “</w:t>
            </w:r>
            <w:r w:rsidR="000F1FFA" w:rsidRPr="000F1FFA">
              <w:rPr>
                <w:sz w:val="20"/>
              </w:rPr>
              <w:t>HMNS-</w:t>
            </w:r>
            <w:proofErr w:type="spellStart"/>
            <w:r w:rsidR="000F1FFA" w:rsidRPr="000F1FFA">
              <w:rPr>
                <w:sz w:val="20"/>
              </w:rPr>
              <w:t>Covid</w:t>
            </w:r>
            <w:proofErr w:type="spellEnd"/>
            <w:r w:rsidR="000F1FFA" w:rsidRPr="000F1FFA">
              <w:rPr>
                <w:sz w:val="20"/>
              </w:rPr>
              <w:t xml:space="preserve"> Safe Protocols-Resumption of face-to-face research activities</w:t>
            </w:r>
            <w:r w:rsidR="000F1FFA">
              <w:rPr>
                <w:sz w:val="20"/>
              </w:rPr>
              <w:t>” (</w:t>
            </w:r>
            <w:r w:rsidR="000F1FFA" w:rsidRPr="000F1FFA">
              <w:rPr>
                <w:sz w:val="20"/>
              </w:rPr>
              <w:t>15777</w:t>
            </w:r>
            <w:r w:rsidR="000F1FFA">
              <w:rPr>
                <w:sz w:val="20"/>
              </w:rPr>
              <w:t>) risk assessment, including having participants and investigators complete the</w:t>
            </w:r>
            <w:r>
              <w:rPr>
                <w:sz w:val="20"/>
              </w:rPr>
              <w:t xml:space="preserve"> “</w:t>
            </w:r>
            <w:r w:rsidRPr="00D025D3">
              <w:rPr>
                <w:sz w:val="20"/>
              </w:rPr>
              <w:t>UQ Exercise Physiology Research COVID-19 symptom checklist</w:t>
            </w:r>
            <w:r>
              <w:rPr>
                <w:sz w:val="20"/>
              </w:rPr>
              <w:t>”</w:t>
            </w:r>
            <w:r w:rsidR="000F1FFA">
              <w:rPr>
                <w:sz w:val="20"/>
              </w:rPr>
              <w:t xml:space="preserve"> upon entry to the laboratory. </w:t>
            </w:r>
            <w:r>
              <w:rPr>
                <w:sz w:val="20"/>
              </w:rPr>
              <w:t xml:space="preserve">Any potential symptoms </w:t>
            </w:r>
            <w:r w:rsidR="000F1FFA">
              <w:rPr>
                <w:sz w:val="20"/>
              </w:rPr>
              <w:t xml:space="preserve">from participants or investigators </w:t>
            </w:r>
            <w:r>
              <w:rPr>
                <w:sz w:val="20"/>
              </w:rPr>
              <w:t xml:space="preserve">will result in the session </w:t>
            </w:r>
            <w:proofErr w:type="gramStart"/>
            <w:r>
              <w:rPr>
                <w:sz w:val="20"/>
              </w:rPr>
              <w:t>being halted</w:t>
            </w:r>
            <w:proofErr w:type="gramEnd"/>
            <w:r>
              <w:rPr>
                <w:sz w:val="20"/>
              </w:rPr>
              <w:t xml:space="preserve"> and the participant being sent home immediately. </w:t>
            </w:r>
          </w:p>
          <w:p w14:paraId="62264112" w14:textId="40A78ABE" w:rsidR="00196A4B" w:rsidRPr="00D025D3" w:rsidRDefault="00196A4B" w:rsidP="000F1FFA">
            <w:pPr>
              <w:rPr>
                <w:sz w:val="20"/>
              </w:rPr>
            </w:pPr>
            <w:r w:rsidRPr="00D025D3">
              <w:rPr>
                <w:sz w:val="20"/>
              </w:rPr>
              <w:t xml:space="preserve">To minimize contact, information documents will be emailed to </w:t>
            </w:r>
            <w:proofErr w:type="gramStart"/>
            <w:r w:rsidRPr="00D025D3">
              <w:rPr>
                <w:sz w:val="20"/>
              </w:rPr>
              <w:t>participants,</w:t>
            </w:r>
            <w:proofErr w:type="gramEnd"/>
            <w:r w:rsidRPr="00D025D3">
              <w:rPr>
                <w:sz w:val="20"/>
              </w:rPr>
              <w:t xml:space="preserve"> and phone versions of assessment items where possible</w:t>
            </w:r>
            <w:r w:rsidR="000F1FFA">
              <w:rPr>
                <w:sz w:val="20"/>
              </w:rPr>
              <w:t>. Participants will also be reminded about the risks of transmission during travel and will be encouraged to: t</w:t>
            </w:r>
            <w:r w:rsidR="000F1FFA" w:rsidRPr="000F1FFA">
              <w:rPr>
                <w:sz w:val="20"/>
              </w:rPr>
              <w:t>rav</w:t>
            </w:r>
            <w:r w:rsidR="000F1FFA">
              <w:rPr>
                <w:sz w:val="20"/>
              </w:rPr>
              <w:t>el with own car, where possible; a</w:t>
            </w:r>
            <w:r w:rsidR="000F1FFA" w:rsidRPr="000F1FFA">
              <w:rPr>
                <w:sz w:val="20"/>
              </w:rPr>
              <w:t>void contact</w:t>
            </w:r>
            <w:r w:rsidR="000F1FFA">
              <w:rPr>
                <w:sz w:val="20"/>
              </w:rPr>
              <w:t xml:space="preserve"> and stay at </w:t>
            </w:r>
            <w:proofErr w:type="gramStart"/>
            <w:r w:rsidR="000F1FFA">
              <w:rPr>
                <w:sz w:val="20"/>
              </w:rPr>
              <w:t>1.5 metre</w:t>
            </w:r>
            <w:proofErr w:type="gramEnd"/>
            <w:r w:rsidR="000F1FFA">
              <w:rPr>
                <w:sz w:val="20"/>
              </w:rPr>
              <w:t xml:space="preserve"> distance; k</w:t>
            </w:r>
            <w:r w:rsidR="000F1FFA" w:rsidRPr="000F1FFA">
              <w:rPr>
                <w:sz w:val="20"/>
              </w:rPr>
              <w:t>eep contact with others as short as possible.</w:t>
            </w:r>
            <w:r w:rsidR="008631ED">
              <w:t xml:space="preserve"> </w:t>
            </w:r>
            <w:r w:rsidR="008631ED">
              <w:rPr>
                <w:sz w:val="20"/>
              </w:rPr>
              <w:t xml:space="preserve">The investigator interacting with the participant will be required to wear </w:t>
            </w:r>
            <w:r w:rsidR="008631ED" w:rsidRPr="008631ED">
              <w:rPr>
                <w:sz w:val="20"/>
              </w:rPr>
              <w:t>personal protective equipment (disposable masks, disposable gloves, and goggles).</w:t>
            </w:r>
          </w:p>
          <w:p w14:paraId="0C29336E" w14:textId="77777777" w:rsidR="00196A4B" w:rsidRDefault="000F1FFA" w:rsidP="00AE69BD">
            <w:pPr>
              <w:rPr>
                <w:sz w:val="20"/>
              </w:rPr>
            </w:pPr>
            <w:r>
              <w:rPr>
                <w:sz w:val="20"/>
              </w:rPr>
              <w:t xml:space="preserve">All cleaning </w:t>
            </w:r>
            <w:proofErr w:type="gramStart"/>
            <w:r>
              <w:rPr>
                <w:sz w:val="20"/>
              </w:rPr>
              <w:t>will be conducted</w:t>
            </w:r>
            <w:proofErr w:type="gramEnd"/>
            <w:r>
              <w:rPr>
                <w:sz w:val="20"/>
              </w:rPr>
              <w:t xml:space="preserve"> as per 15777. </w:t>
            </w:r>
            <w:r w:rsidR="00196A4B" w:rsidRPr="00D025D3">
              <w:rPr>
                <w:sz w:val="20"/>
              </w:rPr>
              <w:t xml:space="preserve"> </w:t>
            </w:r>
          </w:p>
          <w:p w14:paraId="3F671B7D" w14:textId="77777777" w:rsidR="00017A85" w:rsidRDefault="00E11E3B" w:rsidP="00013F9D">
            <w:pPr>
              <w:rPr>
                <w:sz w:val="20"/>
              </w:rPr>
            </w:pPr>
            <w:r>
              <w:rPr>
                <w:sz w:val="20"/>
              </w:rPr>
              <w:t xml:space="preserve">Only one </w:t>
            </w:r>
            <w:r w:rsidR="00013F9D">
              <w:rPr>
                <w:sz w:val="20"/>
              </w:rPr>
              <w:t xml:space="preserve">of </w:t>
            </w:r>
            <w:r>
              <w:rPr>
                <w:sz w:val="20"/>
              </w:rPr>
              <w:t xml:space="preserve">investigators present will have direct contact (within 1.5m) with the participant (all other investigators will maintain 1.5m) for a period of approximately 15-20 </w:t>
            </w:r>
            <w:proofErr w:type="spellStart"/>
            <w:r>
              <w:rPr>
                <w:sz w:val="20"/>
              </w:rPr>
              <w:t>mins</w:t>
            </w:r>
            <w:proofErr w:type="spellEnd"/>
            <w:r>
              <w:rPr>
                <w:sz w:val="20"/>
              </w:rPr>
              <w:t xml:space="preserve"> during setup. After this time, participants will be approximately 3-5 metres from</w:t>
            </w:r>
            <w:r w:rsidR="00013F9D">
              <w:rPr>
                <w:sz w:val="20"/>
              </w:rPr>
              <w:t xml:space="preserve"> all</w:t>
            </w:r>
            <w:r>
              <w:rPr>
                <w:sz w:val="20"/>
              </w:rPr>
              <w:t xml:space="preserve"> investigators during the very short exercise period</w:t>
            </w:r>
            <w:r w:rsidR="00013F9D">
              <w:rPr>
                <w:sz w:val="20"/>
              </w:rPr>
              <w:t xml:space="preserve"> (&lt;10 s) and recovery period.</w:t>
            </w:r>
            <w:r>
              <w:rPr>
                <w:sz w:val="20"/>
              </w:rPr>
              <w:t xml:space="preserve"> Given the </w:t>
            </w:r>
            <w:r w:rsidR="00013F9D">
              <w:rPr>
                <w:sz w:val="20"/>
              </w:rPr>
              <w:t xml:space="preserve">vert </w:t>
            </w:r>
            <w:r>
              <w:rPr>
                <w:sz w:val="20"/>
              </w:rPr>
              <w:t xml:space="preserve">short (anaerobic) nature of the exercise, expelled air is likely to be low. </w:t>
            </w:r>
          </w:p>
          <w:p w14:paraId="6BD1A662" w14:textId="356E0F2C" w:rsidR="005D30FC" w:rsidRDefault="00017A85" w:rsidP="00013F9D">
            <w:pPr>
              <w:rPr>
                <w:sz w:val="20"/>
              </w:rPr>
            </w:pPr>
            <w:r>
              <w:rPr>
                <w:sz w:val="20"/>
              </w:rPr>
              <w:t xml:space="preserve">We have limited the number of sprint tests to 12 to minimise contact time with the participant. </w:t>
            </w:r>
            <w:r w:rsidR="005D30FC">
              <w:rPr>
                <w:sz w:val="20"/>
              </w:rPr>
              <w:t xml:space="preserve">Total exercise testing time for 12 individual sprint efforts will be 2 </w:t>
            </w:r>
            <w:proofErr w:type="spellStart"/>
            <w:proofErr w:type="gramStart"/>
            <w:r w:rsidR="005D30FC">
              <w:rPr>
                <w:sz w:val="20"/>
              </w:rPr>
              <w:t>mins</w:t>
            </w:r>
            <w:proofErr w:type="spellEnd"/>
            <w:r w:rsidR="005D30FC">
              <w:rPr>
                <w:sz w:val="20"/>
              </w:rPr>
              <w:t>,</w:t>
            </w:r>
            <w:proofErr w:type="gramEnd"/>
            <w:r w:rsidR="005D30FC">
              <w:rPr>
                <w:sz w:val="20"/>
              </w:rPr>
              <w:t xml:space="preserve"> total time on bicycle will be 15 </w:t>
            </w:r>
            <w:proofErr w:type="spellStart"/>
            <w:r w:rsidR="005D30FC">
              <w:rPr>
                <w:sz w:val="20"/>
              </w:rPr>
              <w:t>mins</w:t>
            </w:r>
            <w:proofErr w:type="spellEnd"/>
            <w:r w:rsidR="005D30FC">
              <w:rPr>
                <w:sz w:val="20"/>
              </w:rPr>
              <w:t xml:space="preserve">. </w:t>
            </w:r>
            <w:r w:rsidR="003A01C7">
              <w:rPr>
                <w:sz w:val="20"/>
              </w:rPr>
              <w:t xml:space="preserve">Warmup time will be 5 </w:t>
            </w:r>
            <w:proofErr w:type="spellStart"/>
            <w:r w:rsidR="003A01C7">
              <w:rPr>
                <w:sz w:val="20"/>
              </w:rPr>
              <w:t>mins</w:t>
            </w:r>
            <w:proofErr w:type="spellEnd"/>
            <w:r w:rsidR="003A01C7">
              <w:rPr>
                <w:sz w:val="20"/>
              </w:rPr>
              <w:t xml:space="preserve">. </w:t>
            </w:r>
            <w:r w:rsidR="00805D7E">
              <w:rPr>
                <w:sz w:val="20"/>
              </w:rPr>
              <w:t xml:space="preserve">Total setup time will be 20-25 </w:t>
            </w:r>
            <w:proofErr w:type="spellStart"/>
            <w:r w:rsidR="00805D7E">
              <w:rPr>
                <w:sz w:val="20"/>
              </w:rPr>
              <w:t>mins</w:t>
            </w:r>
            <w:proofErr w:type="spellEnd"/>
            <w:r w:rsidR="00805D7E">
              <w:rPr>
                <w:sz w:val="20"/>
              </w:rPr>
              <w:t xml:space="preserve">. </w:t>
            </w:r>
            <w:bookmarkStart w:id="0" w:name="_GoBack"/>
            <w:bookmarkEnd w:id="0"/>
          </w:p>
          <w:p w14:paraId="4C26D616" w14:textId="509C9527" w:rsidR="000F1FFA" w:rsidRPr="00D025D3" w:rsidRDefault="004A5B93" w:rsidP="00013F9D">
            <w:pPr>
              <w:rPr>
                <w:sz w:val="20"/>
              </w:rPr>
            </w:pPr>
            <w:r>
              <w:rPr>
                <w:sz w:val="20"/>
              </w:rPr>
              <w:t>Relevant risk assessments – 16210 &amp; 15777.</w:t>
            </w:r>
            <w:r w:rsidR="00E11E3B">
              <w:rPr>
                <w:sz w:val="20"/>
              </w:rPr>
              <w:t xml:space="preserve"> </w:t>
            </w:r>
          </w:p>
        </w:tc>
      </w:tr>
      <w:tr w:rsidR="00196A4B" w:rsidRPr="009667E3" w14:paraId="1B070B73" w14:textId="77777777" w:rsidTr="1DB6C074">
        <w:trPr>
          <w:trHeight w:val="361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6978A" w14:textId="600EBB3B" w:rsidR="00196A4B" w:rsidRPr="00EC52E2" w:rsidRDefault="00EC52E2" w:rsidP="00AE69BD">
            <w:r>
              <w:t>Up to 20 participants will visit the laboratory over a period of 6-8 weeks.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8510" w14:textId="332077D4" w:rsidR="00196A4B" w:rsidRPr="00196A4B" w:rsidRDefault="00EC52E2" w:rsidP="00AE69BD">
            <w:pPr>
              <w:rPr>
                <w:i/>
              </w:rPr>
            </w:pPr>
            <w:r>
              <w:t xml:space="preserve">Having multiple visitors from outside the laboratory </w:t>
            </w:r>
            <w:r>
              <w:t xml:space="preserve">could increase the likelihood of </w:t>
            </w:r>
            <w:r w:rsidR="00D025D3">
              <w:t xml:space="preserve">COVID-19 transmission.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6E60D" w14:textId="77777777" w:rsidR="00EC52E2" w:rsidRPr="00EC52E2" w:rsidRDefault="00EC52E2" w:rsidP="00EC52E2">
            <w:pPr>
              <w:rPr>
                <w:b/>
                <w:i/>
              </w:rPr>
            </w:pPr>
            <w:r w:rsidRPr="00EC52E2">
              <w:rPr>
                <w:b/>
                <w:i/>
              </w:rPr>
              <w:t>Laboratory booking system</w:t>
            </w:r>
          </w:p>
          <w:p w14:paraId="7CDC8E00" w14:textId="427FD690" w:rsidR="00196A4B" w:rsidRDefault="00EC52E2" w:rsidP="00EC52E2">
            <w:r w:rsidRPr="00EC52E2">
              <w:t>In order to minimise the risk of COVID-19 transmission and spread between the study subject and the examiner, the laboratory will be used only and</w:t>
            </w:r>
            <w:r>
              <w:t xml:space="preserve"> </w:t>
            </w:r>
            <w:r w:rsidRPr="00EC52E2">
              <w:t xml:space="preserve">exclusively by the study </w:t>
            </w:r>
            <w:r>
              <w:t>participant</w:t>
            </w:r>
            <w:r w:rsidRPr="00EC52E2">
              <w:t xml:space="preserve"> </w:t>
            </w:r>
            <w:r>
              <w:t xml:space="preserve">during the time booked, and only the participant and the investigator/s (two or three individuals). </w:t>
            </w:r>
          </w:p>
          <w:p w14:paraId="1C6F37D7" w14:textId="239EA4C4" w:rsidR="00D025D3" w:rsidRPr="00EC52E2" w:rsidRDefault="00D025D3" w:rsidP="00D025D3">
            <w:pPr>
              <w:rPr>
                <w:b/>
                <w:i/>
              </w:rPr>
            </w:pPr>
            <w:r>
              <w:rPr>
                <w:b/>
                <w:i/>
              </w:rPr>
              <w:t>Contact Tracing</w:t>
            </w:r>
          </w:p>
          <w:p w14:paraId="3D57318C" w14:textId="6AF2896B" w:rsidR="00D025D3" w:rsidRDefault="00D025D3" w:rsidP="00EC52E2">
            <w:r>
              <w:t xml:space="preserve">A log of all individuals in the laboratory for an individual data collection, including name, contact number and address </w:t>
            </w:r>
            <w:proofErr w:type="gramStart"/>
            <w:r>
              <w:t>will be recorded</w:t>
            </w:r>
            <w:proofErr w:type="gramEnd"/>
            <w:r>
              <w:t>.</w:t>
            </w:r>
          </w:p>
          <w:p w14:paraId="69F26AA1" w14:textId="77777777" w:rsidR="00EC52E2" w:rsidRPr="00EC52E2" w:rsidRDefault="00EC52E2" w:rsidP="00EC52E2">
            <w:pPr>
              <w:rPr>
                <w:b/>
              </w:rPr>
            </w:pPr>
            <w:r w:rsidRPr="00EC52E2">
              <w:rPr>
                <w:b/>
              </w:rPr>
              <w:t>Laboratory disinfection</w:t>
            </w:r>
          </w:p>
          <w:p w14:paraId="3485D9CE" w14:textId="1904635B" w:rsidR="00EC52E2" w:rsidRPr="00EC52E2" w:rsidRDefault="00EC52E2" w:rsidP="00EC52E2">
            <w:r w:rsidRPr="00EC52E2">
              <w:lastRenderedPageBreak/>
              <w:t>Before and after the laboratory uses, equipment involved in the measurement (EMGs, US, Probes, cables, sensors and cycle-ergometer) will be</w:t>
            </w:r>
            <w:r>
              <w:t xml:space="preserve"> </w:t>
            </w:r>
            <w:r w:rsidRPr="00EC52E2">
              <w:t>decontaminated, following mitigation strategies protocols elaborated by HDR students (biomechanics) (see Table 1).</w:t>
            </w:r>
          </w:p>
          <w:p w14:paraId="585DA16F" w14:textId="7E7A11B7" w:rsidR="00EC52E2" w:rsidRPr="00196A4B" w:rsidRDefault="00EC52E2" w:rsidP="00EC52E2">
            <w:pPr>
              <w:rPr>
                <w:i/>
              </w:rPr>
            </w:pPr>
            <w:r w:rsidRPr="00EC52E2">
              <w:t>In order to increase ventilation generally in the laboratory, after each measurement, the main access doors and the emergency door will be opened, to</w:t>
            </w:r>
            <w:r>
              <w:t xml:space="preserve"> </w:t>
            </w:r>
            <w:r w:rsidRPr="00EC52E2">
              <w:t>generate the renewal of the air inside the laboratory (Mike Tipton, 2020</w:t>
            </w:r>
          </w:p>
        </w:tc>
      </w:tr>
      <w:tr w:rsidR="00196A4B" w:rsidRPr="009667E3" w14:paraId="375FA451" w14:textId="77777777" w:rsidTr="1DB6C074">
        <w:trPr>
          <w:trHeight w:val="361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2B0FC" w14:textId="77777777" w:rsidR="00196A4B" w:rsidRPr="00196A4B" w:rsidRDefault="00196A4B" w:rsidP="00AE69BD">
            <w:pPr>
              <w:rPr>
                <w:i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813F" w14:textId="77777777" w:rsidR="00196A4B" w:rsidRPr="00196A4B" w:rsidRDefault="00196A4B" w:rsidP="00AE69BD">
            <w:pPr>
              <w:rPr>
                <w:i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73597" w14:textId="77777777" w:rsidR="00196A4B" w:rsidRPr="00196A4B" w:rsidRDefault="00196A4B" w:rsidP="00AE69BD">
            <w:pPr>
              <w:rPr>
                <w:i/>
              </w:rPr>
            </w:pPr>
          </w:p>
        </w:tc>
      </w:tr>
    </w:tbl>
    <w:p w14:paraId="6B2F95AF" w14:textId="77777777" w:rsidR="003C69BB" w:rsidRDefault="002F6E7D"/>
    <w:sectPr w:rsidR="003C69BB" w:rsidSect="005D521B">
      <w:headerReference w:type="default" r:id="rId10"/>
      <w:footerReference w:type="default" r:id="rId11"/>
      <w:pgSz w:w="11906" w:h="16838"/>
      <w:pgMar w:top="720" w:right="720" w:bottom="720" w:left="72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73992" w14:textId="77777777" w:rsidR="002F6E7D" w:rsidRDefault="002F6E7D" w:rsidP="005D521B">
      <w:pPr>
        <w:spacing w:after="0" w:line="240" w:lineRule="auto"/>
      </w:pPr>
      <w:r>
        <w:separator/>
      </w:r>
    </w:p>
  </w:endnote>
  <w:endnote w:type="continuationSeparator" w:id="0">
    <w:p w14:paraId="52E76746" w14:textId="77777777" w:rsidR="002F6E7D" w:rsidRDefault="002F6E7D" w:rsidP="005D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110025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14:paraId="573B341E" w14:textId="74CCAC70" w:rsidR="005D521B" w:rsidRDefault="005D521B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A85">
          <w:rPr>
            <w:noProof/>
          </w:rPr>
          <w:t>2</w:t>
        </w:r>
        <w:r>
          <w:rPr>
            <w:noProof/>
          </w:rPr>
          <w:fldChar w:fldCharType="end"/>
        </w:r>
      </w:p>
      <w:p w14:paraId="7736693D" w14:textId="64BF31C3" w:rsidR="005D521B" w:rsidRPr="005D521B" w:rsidRDefault="005D521B">
        <w:pPr>
          <w:pStyle w:val="Footer"/>
          <w:jc w:val="right"/>
          <w:rPr>
            <w:i/>
          </w:rPr>
        </w:pPr>
        <w:r w:rsidRPr="005D521B">
          <w:rPr>
            <w:i/>
            <w:noProof/>
          </w:rPr>
          <w:t>Version 2020-06-04</w:t>
        </w:r>
      </w:p>
    </w:sdtContent>
  </w:sdt>
  <w:p w14:paraId="29F320E7" w14:textId="77777777" w:rsidR="005D521B" w:rsidRDefault="005D5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1297C" w14:textId="77777777" w:rsidR="002F6E7D" w:rsidRDefault="002F6E7D" w:rsidP="005D521B">
      <w:pPr>
        <w:spacing w:after="0" w:line="240" w:lineRule="auto"/>
      </w:pPr>
      <w:r>
        <w:separator/>
      </w:r>
    </w:p>
  </w:footnote>
  <w:footnote w:type="continuationSeparator" w:id="0">
    <w:p w14:paraId="58C0D900" w14:textId="77777777" w:rsidR="002F6E7D" w:rsidRDefault="002F6E7D" w:rsidP="005D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839EB" w14:textId="3AFBB98A" w:rsidR="005D521B" w:rsidRPr="005D521B" w:rsidRDefault="005D521B" w:rsidP="005D521B">
    <w:pPr>
      <w:pStyle w:val="Header"/>
      <w:jc w:val="right"/>
      <w:rPr>
        <w:i/>
      </w:rPr>
    </w:pPr>
    <w:r w:rsidRPr="005D521B">
      <w:rPr>
        <w:i/>
      </w:rPr>
      <w:t xml:space="preserve">COVID-19 HMNS Research </w:t>
    </w:r>
    <w:proofErr w:type="gramStart"/>
    <w:r w:rsidRPr="005D521B">
      <w:rPr>
        <w:i/>
      </w:rPr>
      <w:t>Project  Mitigation</w:t>
    </w:r>
    <w:proofErr w:type="gramEnd"/>
    <w:r w:rsidRPr="005D521B">
      <w:rPr>
        <w:i/>
      </w:rPr>
      <w:t xml:space="preserve"> strategy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4103"/>
    <w:multiLevelType w:val="multilevel"/>
    <w:tmpl w:val="C8AC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8362E"/>
    <w:multiLevelType w:val="hybridMultilevel"/>
    <w:tmpl w:val="3278791C"/>
    <w:lvl w:ilvl="0" w:tplc="44C230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7D8F"/>
    <w:multiLevelType w:val="multilevel"/>
    <w:tmpl w:val="31B690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EF325A"/>
    <w:multiLevelType w:val="hybridMultilevel"/>
    <w:tmpl w:val="C5B0A6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4B"/>
    <w:rsid w:val="00013F9D"/>
    <w:rsid w:val="00017A85"/>
    <w:rsid w:val="000B54BC"/>
    <w:rsid w:val="000F1FFA"/>
    <w:rsid w:val="00180953"/>
    <w:rsid w:val="00196A4B"/>
    <w:rsid w:val="002F6E7D"/>
    <w:rsid w:val="00386EB3"/>
    <w:rsid w:val="003A01C7"/>
    <w:rsid w:val="003F0390"/>
    <w:rsid w:val="004A00F2"/>
    <w:rsid w:val="004A5B93"/>
    <w:rsid w:val="005D30FC"/>
    <w:rsid w:val="005D521B"/>
    <w:rsid w:val="00765A8C"/>
    <w:rsid w:val="00805D7E"/>
    <w:rsid w:val="0084380D"/>
    <w:rsid w:val="008631ED"/>
    <w:rsid w:val="009E1FB7"/>
    <w:rsid w:val="00A8531E"/>
    <w:rsid w:val="00D025D3"/>
    <w:rsid w:val="00D07ECC"/>
    <w:rsid w:val="00E11E3B"/>
    <w:rsid w:val="00EC52E2"/>
    <w:rsid w:val="00F160ED"/>
    <w:rsid w:val="00F619B7"/>
    <w:rsid w:val="00FE43EB"/>
    <w:rsid w:val="0888BA88"/>
    <w:rsid w:val="1DB6C074"/>
    <w:rsid w:val="244525F4"/>
    <w:rsid w:val="46478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8E4C0"/>
  <w15:chartTrackingRefBased/>
  <w15:docId w15:val="{345C6F19-14EB-4C82-A3FD-0F5A00EA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4B"/>
    <w:pPr>
      <w:spacing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E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E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0E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0E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0E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0E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0E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0E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B3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60ED"/>
    <w:pPr>
      <w:pBdr>
        <w:bottom w:val="single" w:sz="8" w:space="4" w:color="AD84C6" w:themeColor="accent1"/>
      </w:pBdr>
      <w:spacing w:after="300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0ED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0ED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60ED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6EB3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EB3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0ED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0ED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0ED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0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0ED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0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60ED"/>
    <w:rPr>
      <w:b/>
      <w:bCs/>
      <w:color w:val="AD84C6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160ED"/>
    <w:rPr>
      <w:b/>
      <w:bCs/>
    </w:rPr>
  </w:style>
  <w:style w:type="character" w:styleId="Emphasis">
    <w:name w:val="Emphasis"/>
    <w:basedOn w:val="DefaultParagraphFont"/>
    <w:uiPriority w:val="20"/>
    <w:qFormat/>
    <w:rsid w:val="00F160ED"/>
    <w:rPr>
      <w:i/>
      <w:iCs/>
    </w:rPr>
  </w:style>
  <w:style w:type="paragraph" w:styleId="NoSpacing">
    <w:name w:val="No Spacing"/>
    <w:uiPriority w:val="1"/>
    <w:qFormat/>
    <w:rsid w:val="00F160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60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0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0ED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0ED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F160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60ED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F160ED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60ED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60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160ED"/>
    <w:pPr>
      <w:outlineLvl w:val="9"/>
    </w:pPr>
  </w:style>
  <w:style w:type="paragraph" w:styleId="ListParagraph">
    <w:name w:val="List Paragraph"/>
    <w:basedOn w:val="Normal"/>
    <w:uiPriority w:val="34"/>
    <w:qFormat/>
    <w:rsid w:val="005D521B"/>
    <w:pPr>
      <w:ind w:left="720"/>
      <w:contextualSpacing/>
    </w:pPr>
  </w:style>
  <w:style w:type="table" w:styleId="TableGrid">
    <w:name w:val="Table Grid"/>
    <w:basedOn w:val="TableNormal"/>
    <w:uiPriority w:val="39"/>
    <w:rsid w:val="005D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5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1B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5D5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1B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3016"/>
    <w:rsid w:val="006B3016"/>
    <w:rsid w:val="0071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16867853EFA4B8F7F2D2E8488D378" ma:contentTypeVersion="13" ma:contentTypeDescription="Create a new document." ma:contentTypeScope="" ma:versionID="50080575e0c089f18488d3f9624358a1">
  <xsd:schema xmlns:xsd="http://www.w3.org/2001/XMLSchema" xmlns:xs="http://www.w3.org/2001/XMLSchema" xmlns:p="http://schemas.microsoft.com/office/2006/metadata/properties" xmlns:ns3="a4651bfa-bb72-4ab4-ae51-81b1865a3a1d" xmlns:ns4="63495728-94d9-4eaa-9410-21a788b52e90" targetNamespace="http://schemas.microsoft.com/office/2006/metadata/properties" ma:root="true" ma:fieldsID="066652cbbe7b5941a9e56fbd9a422f29" ns3:_="" ns4:_="">
    <xsd:import namespace="a4651bfa-bb72-4ab4-ae51-81b1865a3a1d"/>
    <xsd:import namespace="63495728-94d9-4eaa-9410-21a788b52e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51bfa-bb72-4ab4-ae51-81b1865a3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95728-94d9-4eaa-9410-21a788b52e9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5BCF67-977D-4023-A549-37DA147C8F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ED820B-3272-48C4-8FE2-1C6FE2113F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B9298B-779B-484E-8402-AEE543864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51bfa-bb72-4ab4-ae51-81b1865a3a1d"/>
    <ds:schemaRef ds:uri="63495728-94d9-4eaa-9410-21a788b52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Kingston-Ducrot</dc:creator>
  <cp:keywords/>
  <dc:description/>
  <cp:lastModifiedBy>Glen Lichtwark</cp:lastModifiedBy>
  <cp:revision>13</cp:revision>
  <dcterms:created xsi:type="dcterms:W3CDTF">2020-06-03T23:33:00Z</dcterms:created>
  <dcterms:modified xsi:type="dcterms:W3CDTF">2020-08-02T22:03:00Z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0x01010024616867853EFA4B8F7F2D2E8488D378</vt:lpwstr>
  </property>
</Properties>
</file>