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76200</wp:posOffset>
                </wp:positionV>
                <wp:extent cx="3554095" cy="670560"/>
                <wp:effectExtent b="0" l="0" r="0" t="0"/>
                <wp:wrapSquare wrapText="bothSides" distB="0" distT="0" distL="114300" distR="114300"/>
                <wp:docPr id="6" name=""/>
                <a:graphic>
                  <a:graphicData uri="http://schemas.microsoft.com/office/word/2010/wordprocessingShape">
                    <wps:wsp>
                      <wps:cNvSpPr/>
                      <wps:cNvPr id="2" name="Shape 2"/>
                      <wps:spPr>
                        <a:xfrm>
                          <a:off x="3573715" y="3449483"/>
                          <a:ext cx="3544570" cy="661035"/>
                        </a:xfrm>
                        <a:prstGeom prst="rect">
                          <a:avLst/>
                        </a:prstGeom>
                        <a:noFill/>
                        <a:ln>
                          <a:noFill/>
                        </a:ln>
                      </wps:spPr>
                      <wps:txbx>
                        <w:txbxContent>
                          <w:p w:rsidR="00000000" w:rsidDel="00000000" w:rsidP="00000000" w:rsidRDefault="00000000" w:rsidRPr="00000000">
                            <w:pPr>
                              <w:spacing w:after="0" w:before="0" w:line="240"/>
                              <w:ind w:left="-9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t xml:space="preserve">Department of Integrative Physiology	t	303 492 0926</w:t>
                            </w:r>
                          </w:p>
                          <w:p w:rsidR="00000000" w:rsidDel="00000000" w:rsidP="00000000" w:rsidRDefault="00000000" w:rsidRPr="00000000">
                            <w:pPr>
                              <w:spacing w:after="0" w:before="0" w:line="240"/>
                              <w:ind w:left="-9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r>
                            <w:r w:rsidDel="00000000" w:rsidR="00000000" w:rsidRPr="00000000">
                              <w:rPr>
                                <w:rFonts w:ascii="Arial" w:cs="Arial" w:eastAsia="Arial" w:hAnsi="Arial"/>
                                <w:b w:val="0"/>
                                <w:i w:val="0"/>
                                <w:smallCaps w:val="0"/>
                                <w:strike w:val="0"/>
                                <w:color w:val="000000"/>
                                <w:sz w:val="13"/>
                                <w:vertAlign w:val="baseline"/>
                              </w:rPr>
                              <w:t xml:space="preserve">Locomotion Laboratory	f	303 492 4009</w:t>
                            </w:r>
                          </w:p>
                          <w:p w:rsidR="00000000" w:rsidDel="00000000" w:rsidP="00000000" w:rsidRDefault="00000000" w:rsidRPr="00000000">
                            <w:pPr>
                              <w:spacing w:after="0" w:before="0" w:line="240"/>
                              <w:ind w:left="-9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r>
                            <w:r w:rsidDel="00000000" w:rsidR="00000000" w:rsidRPr="00000000">
                              <w:rPr>
                                <w:rFonts w:ascii="Arial" w:cs="Arial" w:eastAsia="Arial" w:hAnsi="Arial"/>
                                <w:b w:val="0"/>
                                <w:i w:val="0"/>
                                <w:smallCaps w:val="0"/>
                                <w:strike w:val="0"/>
                                <w:color w:val="000000"/>
                                <w:sz w:val="13"/>
                                <w:vertAlign w:val="baseline"/>
                              </w:rPr>
                              <w:t xml:space="preserve">CLRE Room 111	</w:t>
                            </w:r>
                            <w:r w:rsidDel="00000000" w:rsidR="00000000" w:rsidRPr="00000000">
                              <w:rPr>
                                <w:rFonts w:ascii="Arial" w:cs="Arial" w:eastAsia="Arial" w:hAnsi="Arial"/>
                                <w:b w:val="0"/>
                                <w:i w:val="0"/>
                                <w:smallCaps w:val="0"/>
                                <w:strike w:val="0"/>
                                <w:color w:val="0000ff"/>
                                <w:sz w:val="13"/>
                                <w:u w:val="single"/>
                                <w:vertAlign w:val="baseline"/>
                              </w:rPr>
                              <w:t xml:space="preserve">ross.wilkinson@colorado.edu</w:t>
                            </w:r>
                          </w:p>
                          <w:p w:rsidR="00000000" w:rsidDel="00000000" w:rsidP="00000000" w:rsidRDefault="00000000" w:rsidRPr="00000000">
                            <w:pPr>
                              <w:spacing w:after="0" w:before="0" w:line="240"/>
                              <w:ind w:left="-90" w:right="0" w:firstLine="0"/>
                              <w:jc w:val="left"/>
                              <w:textDirection w:val="btLr"/>
                            </w:pPr>
                            <w:r w:rsidDel="00000000" w:rsidR="00000000" w:rsidRPr="00000000">
                              <w:rPr>
                                <w:rFonts w:ascii="Arial" w:cs="Arial" w:eastAsia="Arial" w:hAnsi="Arial"/>
                                <w:b w:val="0"/>
                                <w:i w:val="0"/>
                                <w:smallCaps w:val="0"/>
                                <w:strike w:val="0"/>
                                <w:color w:val="0000ff"/>
                                <w:sz w:val="13"/>
                                <w:u w:val="single"/>
                                <w:vertAlign w:val="baseline"/>
                              </w:rPr>
                            </w:r>
                            <w:r w:rsidDel="00000000" w:rsidR="00000000" w:rsidRPr="00000000">
                              <w:rPr>
                                <w:rFonts w:ascii="Arial" w:cs="Arial" w:eastAsia="Arial" w:hAnsi="Arial"/>
                                <w:b w:val="0"/>
                                <w:i w:val="0"/>
                                <w:smallCaps w:val="0"/>
                                <w:strike w:val="0"/>
                                <w:color w:val="000000"/>
                                <w:sz w:val="13"/>
                                <w:vertAlign w:val="baseline"/>
                              </w:rPr>
                              <w:t xml:space="preserve">354 UCB</w:t>
                            </w:r>
                          </w:p>
                          <w:p w:rsidR="00000000" w:rsidDel="00000000" w:rsidP="00000000" w:rsidRDefault="00000000" w:rsidRPr="00000000">
                            <w:pPr>
                              <w:spacing w:after="0" w:before="0" w:line="240"/>
                              <w:ind w:left="-90" w:right="0" w:firstLine="0"/>
                              <w:jc w:val="left"/>
                              <w:textDirection w:val="btLr"/>
                            </w:pPr>
                            <w:r w:rsidDel="00000000" w:rsidR="00000000" w:rsidRPr="00000000">
                              <w:rPr>
                                <w:rFonts w:ascii="Arial" w:cs="Arial" w:eastAsia="Arial" w:hAnsi="Arial"/>
                                <w:b w:val="0"/>
                                <w:i w:val="0"/>
                                <w:smallCaps w:val="0"/>
                                <w:strike w:val="0"/>
                                <w:color w:val="000000"/>
                                <w:sz w:val="13"/>
                                <w:vertAlign w:val="baseline"/>
                              </w:rPr>
                            </w:r>
                            <w:r w:rsidDel="00000000" w:rsidR="00000000" w:rsidRPr="00000000">
                              <w:rPr>
                                <w:rFonts w:ascii="Arial" w:cs="Arial" w:eastAsia="Arial" w:hAnsi="Arial"/>
                                <w:b w:val="0"/>
                                <w:i w:val="0"/>
                                <w:smallCaps w:val="0"/>
                                <w:strike w:val="0"/>
                                <w:color w:val="000000"/>
                                <w:sz w:val="13"/>
                                <w:vertAlign w:val="baseline"/>
                              </w:rPr>
                              <w:t xml:space="preserve">Boulder, Colorado 80309-0354</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76200</wp:posOffset>
                </wp:positionV>
                <wp:extent cx="3554095" cy="67056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554095" cy="670560"/>
                        </a:xfrm>
                        <a:prstGeom prst="rect"/>
                        <a:ln/>
                      </pic:spPr>
                    </pic:pic>
                  </a:graphicData>
                </a:graphic>
              </wp:anchor>
            </w:drawing>
          </mc:Fallback>
        </mc:AlternateContent>
      </w:r>
    </w:p>
    <w:p w:rsidR="00000000" w:rsidDel="00000000" w:rsidP="00000000" w:rsidRDefault="00000000" w:rsidRPr="00000000" w14:paraId="00000002">
      <w:pPr>
        <w:tabs>
          <w:tab w:val="left" w:pos="6160"/>
        </w:tabs>
        <w:ind w:left="-810" w:firstLine="0"/>
        <w:rPr/>
      </w:pPr>
      <w:r w:rsidDel="00000000" w:rsidR="00000000" w:rsidRPr="00000000">
        <w:rPr/>
        <w:drawing>
          <wp:inline distB="0" distT="0" distL="0" distR="0">
            <wp:extent cx="1955800" cy="3937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55800" cy="393700"/>
                    </a:xfrm>
                    <a:prstGeom prst="rect"/>
                    <a:ln/>
                  </pic:spPr>
                </pic:pic>
              </a:graphicData>
            </a:graphic>
          </wp:inline>
        </w:drawing>
      </w:r>
      <w:r w:rsidDel="00000000" w:rsidR="00000000" w:rsidRPr="00000000">
        <w:rPr>
          <w:rtl w:val="0"/>
        </w:rPr>
        <w:t xml:space="preserve"> </w:t>
        <w:tab/>
      </w:r>
      <w:r w:rsidDel="00000000" w:rsidR="00000000" w:rsidRPr="00000000">
        <w:rPr>
          <w:rFonts w:ascii="Times New Roman" w:cs="Times New Roman" w:eastAsia="Times New Roman" w:hAnsi="Times New Roman"/>
          <w:sz w:val="22"/>
          <w:szCs w:val="22"/>
          <w:rtl w:val="0"/>
        </w:rPr>
        <w:tab/>
        <w:tab/>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May 8, 2021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Farshid Guilak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Editor-in-Chief, Journal of Biomechanics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em@editorialmanager.com</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 BM-D-21-00131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Dear Dr. Guilak,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Thank you for the opportunity to revise our manuscript and the reviewer for their insightful comments. Attached, please find our revised manuscript titled: “The influence of bicycle lean on maximal power output during sprint cycling” that we hope you will find acceptable for publication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Journal of Biomechanics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following pages we have addressed all of the reviewer comments on a point-by-point basis and also indicated altered parts of the manuscript text as follows: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italicized text refers to new text that has been included within the manuscript and,</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strikethrough text refers to old text that has now been omitted.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Thank you in advance for your time and effort in reviewing our response.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Sincerely,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88"/>
        <w:gridCol w:w="4488"/>
        <w:tblGridChange w:id="0">
          <w:tblGrid>
            <w:gridCol w:w="4488"/>
            <w:gridCol w:w="4488"/>
          </w:tblGrid>
        </w:tblGridChange>
      </w:tblGrid>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2405920" cy="633448"/>
                  <wp:effectExtent b="0" l="0" r="0" t="0"/>
                  <wp:docPr descr="Text, letter&#10;&#10;Description automatically generated" id="9" name="image3.png"/>
                  <a:graphic>
                    <a:graphicData uri="http://schemas.openxmlformats.org/drawingml/2006/picture">
                      <pic:pic>
                        <pic:nvPicPr>
                          <pic:cNvPr descr="Text, letter&#10;&#10;Description automatically generated" id="0" name="image3.png"/>
                          <pic:cNvPicPr preferRelativeResize="0"/>
                        </pic:nvPicPr>
                        <pic:blipFill>
                          <a:blip r:embed="rId10"/>
                          <a:srcRect b="0" l="4336" r="0" t="0"/>
                          <a:stretch>
                            <a:fillRect/>
                          </a:stretch>
                        </pic:blipFill>
                        <pic:spPr>
                          <a:xfrm>
                            <a:off x="0" y="0"/>
                            <a:ext cx="2405920" cy="6334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sz w:val="22"/>
                <w:szCs w:val="22"/>
              </w:rPr>
              <w:drawing>
                <wp:inline distB="0" distT="0" distL="0" distR="0">
                  <wp:extent cx="1519555" cy="661035"/>
                  <wp:effectExtent b="0" l="0" r="0" t="0"/>
                  <wp:docPr descr=":::School:CUletterhead:rk.eps" id="8" name="image2.png"/>
                  <a:graphic>
                    <a:graphicData uri="http://schemas.openxmlformats.org/drawingml/2006/picture">
                      <pic:pic>
                        <pic:nvPicPr>
                          <pic:cNvPr descr=":::School:CUletterhead:rk.eps" id="0" name="image2.png"/>
                          <pic:cNvPicPr preferRelativeResize="0"/>
                        </pic:nvPicPr>
                        <pic:blipFill>
                          <a:blip r:embed="rId11"/>
                          <a:srcRect b="0" l="0" r="0" t="0"/>
                          <a:stretch>
                            <a:fillRect/>
                          </a:stretch>
                        </pic:blipFill>
                        <pic:spPr>
                          <a:xfrm>
                            <a:off x="0" y="0"/>
                            <a:ext cx="1519555" cy="66103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B">
            <w:pPr>
              <w:spacing w:line="2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Ross Wilkinson, Ph.D.</w:t>
            </w:r>
          </w:p>
          <w:p w:rsidR="00000000" w:rsidDel="00000000" w:rsidP="00000000" w:rsidRDefault="00000000" w:rsidRPr="00000000" w14:paraId="0000001C">
            <w:pPr>
              <w:spacing w:line="28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Post-doctoral Researcher</w:t>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Integrative Physiology Dept.</w:t>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University of Colorado Boulder</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ross.wilkinson@colorado.edu</w:t>
            </w:r>
          </w:p>
        </w:tc>
        <w:tc>
          <w:tcPr/>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Rodger Kram, Ph.D.</w:t>
              <w:br w:type="textWrapping"/>
              <w:t xml:space="preserve">Associate Professor, Emeritus</w:t>
              <w:br w:type="textWrapping"/>
              <w:t xml:space="preserve">Integrative Physiology Dept.</w:t>
              <w:br w:type="textWrapping"/>
              <w:t xml:space="preserve">University of Colorado Boulder</w:t>
              <w:br w:type="textWrapping"/>
              <w:t xml:space="preserve">rodger.kram@colorado.edu</w:t>
            </w: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Response to Reviewer</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w:t>
      </w:r>
    </w:p>
    <w:tbl>
      <w:tblPr>
        <w:tblStyle w:val="Table2"/>
        <w:tblW w:w="8986.0" w:type="dxa"/>
        <w:jc w:val="left"/>
        <w:tblInd w:w="0.0" w:type="dxa"/>
        <w:tblLayout w:type="fixed"/>
        <w:tblLook w:val="0400"/>
      </w:tblPr>
      <w:tblGrid>
        <w:gridCol w:w="1438"/>
        <w:gridCol w:w="7548"/>
        <w:tblGridChange w:id="0">
          <w:tblGrid>
            <w:gridCol w:w="1438"/>
            <w:gridCol w:w="7548"/>
          </w:tblGrid>
        </w:tblGridChange>
      </w:tblGrid>
      <w:tr>
        <w:trPr>
          <w:cantSplit w:val="0"/>
          <w:tblHeader w:val="0"/>
        </w:trPr>
        <w:tc>
          <w:tcPr>
            <w:tcBorders>
              <w:top w:color="000000" w:space="0" w:sz="4" w:val="single"/>
            </w:tcBorders>
          </w:tcPr>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manuscript submitted at Journal of Biomechanics focuses on the maximal output power during sprint cycling with or without lean. For this study, nineteen recreational cyclists performed 5-seconds sprints against variable resistance until they reach their maximal output power. The main result obtained in this study is that the maximum power is identical between the ad-lib condition and the locked condition.</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manuscript is clear and well written.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thank the reviewer for their concise summary and positive feedback.</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is an incremental study (see Wilkinson et al. 2020. http://dx.doi.org/10.31236/osf.io/hj9gp). It is surprising to note that this manuscript quotes previous unpublished studies by the same author. The reviewer thinks that these data should first be peer-reviewed before being cited. Moreover, this first study on the same topic leads to very close results as the authors stated "[…] and peak instantaneous crank power in the Unconstrained condition were greater than Self-Restricted but similar to in the Trainer". Thus, what is different between these previous results and the new ones? Moreover, the authors have changed the names of the different conditions: ad-libitum (unconstrained), locked (trainer) and minimal lean (self-restricted). The reviewer believes that the authors should use the same name for the same condition.</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thank the reviewer for taking the time to review and compare this study to the pre-print by Wilkinson et al. (2020). We apologize for not being more explicit that it remains a pre-print, however our understanding is that citing preprint material is an acceptable practice when necessary. The pre-print is under review at another journal.</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edited the in-text referencing to the preprint as (Wilkinson et al., 2020 </w:t>
            </w:r>
            <w:r w:rsidDel="00000000" w:rsidR="00000000" w:rsidRPr="00000000">
              <w:rPr>
                <w:rFonts w:ascii="Times New Roman" w:cs="Times New Roman" w:eastAsia="Times New Roman" w:hAnsi="Times New Roman"/>
                <w:i w:val="1"/>
                <w:rtl w:val="0"/>
              </w:rPr>
              <w:t xml:space="preserve">PREPRINT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contend that nearly all studies and the overall practice of science are incremental. After completing the more detailed biomechanical analysis of submaximal roller cycling (Wilkinson et al., 2020), it became clear that maximal sprint cycling was the next logical step. However, sprinting on rollers is not safe and it does not prevent lean. Thus, the present authors invented and built the device described in the present manuscript.</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most important differences between these two studies are that Wilkinson et al. (2020 PREPRINT) was at a </w:t>
            </w:r>
            <w:r w:rsidDel="00000000" w:rsidR="00000000" w:rsidRPr="00000000">
              <w:rPr>
                <w:rFonts w:ascii="Times New Roman" w:cs="Times New Roman" w:eastAsia="Times New Roman" w:hAnsi="Times New Roman"/>
                <w:u w:val="single"/>
                <w:rtl w:val="0"/>
              </w:rPr>
              <w:t xml:space="preserve">submaximal</w:t>
            </w:r>
            <w:r w:rsidDel="00000000" w:rsidR="00000000" w:rsidRPr="00000000">
              <w:rPr>
                <w:rFonts w:ascii="Times New Roman" w:cs="Times New Roman" w:eastAsia="Times New Roman" w:hAnsi="Times New Roman"/>
                <w:rtl w:val="0"/>
              </w:rPr>
              <w:t xml:space="preserve"> power output and it was done </w:t>
            </w:r>
            <w:r w:rsidDel="00000000" w:rsidR="00000000" w:rsidRPr="00000000">
              <w:rPr>
                <w:rFonts w:ascii="Times New Roman" w:cs="Times New Roman" w:eastAsia="Times New Roman" w:hAnsi="Times New Roman"/>
                <w:u w:val="single"/>
                <w:rtl w:val="0"/>
              </w:rPr>
              <w:t xml:space="preserve">on rollers</w:t>
            </w:r>
            <w:r w:rsidDel="00000000" w:rsidR="00000000" w:rsidRPr="00000000">
              <w:rPr>
                <w:rFonts w:ascii="Times New Roman" w:cs="Times New Roman" w:eastAsia="Times New Roman" w:hAnsi="Times New Roman"/>
                <w:rtl w:val="0"/>
              </w:rPr>
              <w:t xml:space="preserve"> rather than a stationary ergometer as stated on line 37: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the question of whether minimizing lean affects maximal power remains open. Wilkinson et al. (2020 </w:t>
            </w:r>
            <w:r w:rsidDel="00000000" w:rsidR="00000000" w:rsidRPr="00000000">
              <w:rPr>
                <w:rFonts w:ascii="Times New Roman" w:cs="Times New Roman" w:eastAsia="Times New Roman" w:hAnsi="Times New Roman"/>
                <w:i w:val="1"/>
                <w:rtl w:val="0"/>
              </w:rPr>
              <w:t xml:space="preserve">PREPRINT</w:t>
            </w:r>
            <w:r w:rsidDel="00000000" w:rsidR="00000000" w:rsidRPr="00000000">
              <w:rPr>
                <w:rFonts w:ascii="Times New Roman" w:cs="Times New Roman" w:eastAsia="Times New Roman" w:hAnsi="Times New Roman"/>
                <w:rtl w:val="0"/>
              </w:rPr>
              <w:t xml:space="preserve">) compared rider biomechanics on rollers, but only at a submaximal power output (5 W kg</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Thus, the difference in peak instantaneous crank power (measured at 100 Hz) merely indicates a difference in the pattern of crank power production rather than an increase in maximal power output. </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renamed the conditions in Wilkinson et al. (2020 PREPRINT) to be consistent with the current submission as we feel the new terminology is clearer.</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page 5, line 47-51, the assumptions were probably made after the results were obtained. Indeed, no results from the literature (except the ones published by the main author) can lead to such precise hypotheses. The hypotheses should be reformulated more broadly.</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do not understand how/why the Reviewer might consider a null hypothesis to be overly precise and post-hoc. By its very nature, a null hypothesis is neutral and really the only option when there is insufficient </w:t>
            </w:r>
            <w:r w:rsidDel="00000000" w:rsidR="00000000" w:rsidRPr="00000000">
              <w:rPr>
                <w:rFonts w:ascii="Times New Roman" w:cs="Times New Roman" w:eastAsia="Times New Roman" w:hAnsi="Times New Roman"/>
                <w:i w:val="1"/>
                <w:rtl w:val="0"/>
              </w:rPr>
              <w:t xml:space="preserve">a priori</w:t>
            </w:r>
            <w:r w:rsidDel="00000000" w:rsidR="00000000" w:rsidRPr="00000000">
              <w:rPr>
                <w:rFonts w:ascii="Times New Roman" w:cs="Times New Roman" w:eastAsia="Times New Roman" w:hAnsi="Times New Roman"/>
                <w:rtl w:val="0"/>
              </w:rPr>
              <w:t xml:space="preserve"> evidence in the literature. Hypothesis 2 is based upon the findings in the aforementioned preprint. We concede that Hypothesis 3 was slightly artificial in that we simply hoped our ergometer would foster the same style of cycling as overground riding. In pilot testing, it seemed that the coordination pattern was the same as overground riding. However, stating it as a hypothesis allowed us to test it statistically.</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is unclear. Indeed, the authors used a crank-mounted sensor (Garmin Ltd, Olathe, KA, USA) with 1 Hz resolution. This was followed by three to five short (5-s) maximal sprints in a non-seated posture under the ad-lib lean condition, each separated by 3-min of rest. Finally, the authors recorded the maximal instantaneous 1-second crank power. The reviewer doesn't understand how the authors can measured the instantaneous cadence with such low frequency. Indeed, the authors obtained a mean cadence around 110 rpm. Thus, they measured the cadence every two rotations. This seems too low to measure the maximal instantaneous power.</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sorry for the confusion. The Quarq system samples both crank angular velocity and torque at 65 Hz but it averages over 1 second periods and transmits those 1-sec averages to the Garmin head unit. It is not possible to obtain the instantaneous crank power values from the Quarq unit.</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modified the text at Line 71 to avoid any confusion:</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meter </w:t>
            </w:r>
            <w:r w:rsidDel="00000000" w:rsidR="00000000" w:rsidRPr="00000000">
              <w:rPr>
                <w:rFonts w:ascii="Times New Roman" w:cs="Times New Roman" w:eastAsia="Times New Roman" w:hAnsi="Times New Roman"/>
                <w:strike w:val="1"/>
                <w:rtl w:val="0"/>
              </w:rPr>
              <w:t xml:space="preserve">creates a 1-second average from data measured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samples crank angular velocity and torque </w:t>
            </w:r>
            <w:r w:rsidDel="00000000" w:rsidR="00000000" w:rsidRPr="00000000">
              <w:rPr>
                <w:rFonts w:ascii="Times New Roman" w:cs="Times New Roman" w:eastAsia="Times New Roman" w:hAnsi="Times New Roman"/>
                <w:rtl w:val="0"/>
              </w:rPr>
              <w:t xml:space="preserve">at 65 Hz </w:t>
            </w:r>
            <w:r w:rsidDel="00000000" w:rsidR="00000000" w:rsidRPr="00000000">
              <w:rPr>
                <w:rFonts w:ascii="Times New Roman" w:cs="Times New Roman" w:eastAsia="Times New Roman" w:hAnsi="Times New Roman"/>
                <w:i w:val="1"/>
                <w:rtl w:val="0"/>
              </w:rPr>
              <w:t xml:space="preserve">and then transmits a 1-second average of cadence and power to the Garmin head unit.”</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mention the dynamic balance of the cyclists (page 12, line 186). How they define this concept? The balance is usually a static concept. How the authors can measure a good or a bad dynamic balance during a pedaling task?</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Animals are said to be dynamically stable when the extrapolated centre of mass (xCoM) projection is within the edges of support (Hof, Gazendum, and Sinke, 2005). xCoM takes into account the velocity of the CoM. For example, during cycling a vertical projection of the rider’s center of mass can be (and is) positioned outside of the bicycle’s base of support and yet the rider does not fall. Something similar occurs in human walking.</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readers’ interests, we now include the following in-text citation at Line 186: “...dynamic balance </w:t>
            </w:r>
            <w:r w:rsidDel="00000000" w:rsidR="00000000" w:rsidRPr="00000000">
              <w:rPr>
                <w:rFonts w:ascii="Times New Roman" w:cs="Times New Roman" w:eastAsia="Times New Roman" w:hAnsi="Times New Roman"/>
                <w:i w:val="1"/>
                <w:rtl w:val="0"/>
              </w:rPr>
              <w:t xml:space="preserve">(Hof, Gazendam, and Sinke, 2005)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Hof, A. L., M. G J Gazendam, and W. E. Sinke. 2005. “The condition for dynamic stability.” </w:t>
            </w:r>
            <w:r w:rsidDel="00000000" w:rsidR="00000000" w:rsidRPr="00000000">
              <w:rPr>
                <w:rFonts w:ascii="Times New Roman" w:cs="Times New Roman" w:eastAsia="Times New Roman" w:hAnsi="Times New Roman"/>
                <w:i w:val="1"/>
                <w:rtl w:val="0"/>
              </w:rPr>
              <w:t xml:space="preserve">Journal of Biomechanics</w:t>
            </w:r>
            <w:r w:rsidDel="00000000" w:rsidR="00000000" w:rsidRPr="00000000">
              <w:rPr>
                <w:rFonts w:ascii="Times New Roman" w:cs="Times New Roman" w:eastAsia="Times New Roman" w:hAnsi="Times New Roman"/>
                <w:rtl w:val="0"/>
              </w:rPr>
              <w:t xml:space="preserve"> 38 (1): 1–8. </w:t>
            </w:r>
            <w:hyperlink r:id="rId12">
              <w:r w:rsidDel="00000000" w:rsidR="00000000" w:rsidRPr="00000000">
                <w:rPr>
                  <w:rFonts w:ascii="Times New Roman" w:cs="Times New Roman" w:eastAsia="Times New Roman" w:hAnsi="Times New Roman"/>
                  <w:color w:val="0000ff"/>
                  <w:u w:val="single"/>
                  <w:rtl w:val="0"/>
                </w:rPr>
                <w:t xml:space="preserve">https://doi.org/10.1016/j.jbiomech.2004.03.025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not measure the subject’s center of mass position or dynamic balance in the present study.</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provide no results regarding the joint torques and joint powers. Thus, it is unclear for the reader if the same output crank power observed with the ad-lib and the locked conditions necessitates the same power developed by the cyclists. The authors should briefly discuss this issue.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added the following paragraph at Line 240 to discuss this topic:</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We did not collect motion capture or three-dimensional pedal force data and thus cannot provide any insight into individual joint kinematics or kinetics. Although net total crank power is equal to net total joint power over a complete crank cycle, it is certainly possible that the contribution of power across individual joints differed between the three conditions.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tc>
        <w:tc>
          <w:tcPr>
            <w:tcBorders>
              <w:top w:color="000000" w:space="0" w:sz="4" w:val="single"/>
            </w:tcBorders>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page 13 at line 224, the authors use non-standard units. Please modify it.</w:t>
            </w:r>
          </w:p>
        </w:tc>
      </w:tr>
      <w:tr>
        <w:trPr>
          <w:cantSplit w:val="0"/>
          <w:tblHeader w:val="0"/>
        </w:trPr>
        <w:tc>
          <w:tcPr>
            <w:tcBorders>
              <w:bottom w:color="000000" w:space="0" w:sz="4" w:val="single"/>
            </w:tcBorders>
          </w:tcPr>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modified the units at Line 224: “</w:t>
            </w:r>
            <w:r w:rsidDel="00000000" w:rsidR="00000000" w:rsidRPr="00000000">
              <w:rPr>
                <w:rFonts w:ascii="Times New Roman" w:cs="Times New Roman" w:eastAsia="Times New Roman" w:hAnsi="Times New Roman"/>
                <w:i w:val="1"/>
                <w:rtl w:val="0"/>
              </w:rPr>
              <w:t xml:space="preserve">18.0 m s</w:t>
            </w:r>
            <w:r w:rsidDel="00000000" w:rsidR="00000000" w:rsidRPr="00000000">
              <w:rPr>
                <w:rFonts w:ascii="Times New Roman" w:cs="Times New Roman" w:eastAsia="Times New Roman" w:hAnsi="Times New Roman"/>
                <w:i w:val="1"/>
                <w:vertAlign w:val="superscript"/>
                <w:rtl w:val="0"/>
              </w:rPr>
              <w:t xml:space="preserve">–1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(65 km hr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We parenthetically provide the more colloquial 65 km hr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that cyclists are more familiar with. </w:t>
            </w:r>
          </w:p>
        </w:tc>
      </w:tr>
    </w:tbl>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response to Reviewer.</w:t>
      </w:r>
    </w:p>
    <w:sectPr>
      <w:pgSz w:h="15840" w:w="12240" w:orient="portrait"/>
      <w:pgMar w:bottom="1627" w:top="432" w:left="1627" w:right="1627"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2427"/>
    <w:rPr>
      <w:rFonts w:eastAsia="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semiHidden w:val="1"/>
    <w:rsid w:val="008D04A1"/>
    <w:rPr>
      <w:rFonts w:cs="Times New Roman"/>
      <w:color w:val="0000ff"/>
      <w:u w:val="single"/>
    </w:rPr>
  </w:style>
  <w:style w:type="paragraph" w:styleId="Default" w:customStyle="1">
    <w:name w:val="Default"/>
    <w:rsid w:val="008D04A1"/>
    <w:pPr>
      <w:widowControl w:val="0"/>
      <w:autoSpaceDE w:val="0"/>
      <w:autoSpaceDN w:val="0"/>
      <w:adjustRightInd w:val="0"/>
    </w:pPr>
    <w:rPr>
      <w:rFonts w:ascii="HelveticaNeueLT Std" w:cs="HelveticaNeueLT Std" w:eastAsia="Times New Roman" w:hAnsi="HelveticaNeueLT Std"/>
      <w:color w:val="000000"/>
      <w:sz w:val="24"/>
      <w:szCs w:val="24"/>
    </w:rPr>
  </w:style>
  <w:style w:type="paragraph" w:styleId="Pa0" w:customStyle="1">
    <w:name w:val="Pa0"/>
    <w:basedOn w:val="Default"/>
    <w:next w:val="Default"/>
    <w:rsid w:val="008D04A1"/>
    <w:pPr>
      <w:spacing w:line="201" w:lineRule="atLeast"/>
    </w:pPr>
    <w:rPr>
      <w:rFonts w:cs="Times New Roman"/>
      <w:color w:val="auto"/>
    </w:rPr>
  </w:style>
  <w:style w:type="paragraph" w:styleId="Pa1" w:customStyle="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styleId="HeaderChar" w:customStyle="1">
    <w:name w:val="Header Char"/>
    <w:link w:val="Header"/>
    <w:locked w:val="1"/>
    <w:rsid w:val="008D04A1"/>
    <w:rPr>
      <w:rFonts w:cs="Times New Roman"/>
    </w:rPr>
  </w:style>
  <w:style w:type="paragraph" w:styleId="Footer">
    <w:name w:val="footer"/>
    <w:basedOn w:val="Normal"/>
    <w:link w:val="FooterChar"/>
    <w:rsid w:val="008D04A1"/>
    <w:pPr>
      <w:tabs>
        <w:tab w:val="center" w:pos="4320"/>
        <w:tab w:val="right" w:pos="8640"/>
      </w:tabs>
    </w:pPr>
  </w:style>
  <w:style w:type="character" w:styleId="FooterChar" w:customStyle="1">
    <w:name w:val="Footer Char"/>
    <w:link w:val="Footer"/>
    <w:locked w:val="1"/>
    <w:rsid w:val="008D04A1"/>
    <w:rPr>
      <w:rFonts w:cs="Times New Roman"/>
    </w:rPr>
  </w:style>
  <w:style w:type="table" w:styleId="TableGrid">
    <w:name w:val="Table Grid"/>
    <w:basedOn w:val="TableNormal"/>
    <w:rsid w:val="00CC38A3"/>
    <w:rPr>
      <w:rFonts w:eastAsia="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rsid w:val="004C599A"/>
    <w:rPr>
      <w:rFonts w:ascii="Lucida Grande" w:cs="Lucida Grande" w:hAnsi="Lucida Grande"/>
      <w:sz w:val="18"/>
      <w:szCs w:val="18"/>
    </w:rPr>
  </w:style>
  <w:style w:type="character" w:styleId="BalloonTextChar" w:customStyle="1">
    <w:name w:val="Balloon Text Char"/>
    <w:link w:val="BalloonText"/>
    <w:rsid w:val="004C599A"/>
    <w:rPr>
      <w:rFonts w:ascii="Lucida Grande" w:cs="Lucida Grande" w:eastAsia="Times New Roman" w:hAnsi="Lucida Grande"/>
      <w:sz w:val="18"/>
      <w:szCs w:val="18"/>
    </w:rPr>
  </w:style>
  <w:style w:type="character" w:styleId="FollowedHyperlink">
    <w:name w:val="FollowedHyperlink"/>
    <w:basedOn w:val="DefaultParagraphFont"/>
    <w:semiHidden w:val="1"/>
    <w:unhideWhenUsed w:val="1"/>
    <w:rsid w:val="00444767"/>
    <w:rPr>
      <w:color w:val="800080" w:themeColor="followedHyperlink"/>
      <w:u w:val="single"/>
    </w:rPr>
  </w:style>
  <w:style w:type="character" w:styleId="UnresolvedMention1" w:customStyle="1">
    <w:name w:val="Unresolved Mention1"/>
    <w:basedOn w:val="DefaultParagraphFont"/>
    <w:uiPriority w:val="99"/>
    <w:semiHidden w:val="1"/>
    <w:unhideWhenUsed w:val="1"/>
    <w:rsid w:val="00E07052"/>
    <w:rPr>
      <w:color w:val="605e5c"/>
      <w:shd w:color="auto" w:fill="e1dfdd" w:val="clear"/>
    </w:rPr>
  </w:style>
  <w:style w:type="paragraph" w:styleId="Header1" w:customStyle="1">
    <w:name w:val="Header1"/>
    <w:basedOn w:val="Normal"/>
    <w:qFormat w:val="1"/>
    <w:rsid w:val="004D2A8B"/>
    <w:pPr>
      <w:tabs>
        <w:tab w:val="left" w:pos="3600"/>
        <w:tab w:val="left" w:pos="3780"/>
      </w:tabs>
      <w:ind w:left="-90"/>
    </w:pPr>
    <w:rPr>
      <w:rFonts w:ascii="Arial" w:cs="Arial" w:eastAsia="Arial Unicode MS" w:hAnsi="Arial"/>
      <w:sz w:val="13"/>
      <w:szCs w:val="13"/>
    </w:rPr>
  </w:style>
  <w:style w:type="paragraph" w:styleId="Revision">
    <w:name w:val="Revision"/>
    <w:hidden w:val="1"/>
    <w:uiPriority w:val="99"/>
    <w:semiHidden w:val="1"/>
    <w:rsid w:val="00C64862"/>
    <w:rPr>
      <w:rFonts w:eastAsia="Times New Roman"/>
      <w:sz w:val="24"/>
      <w:szCs w:val="24"/>
    </w:rPr>
  </w:style>
  <w:style w:type="paragraph" w:styleId="NormalWeb">
    <w:name w:val="Normal (Web)"/>
    <w:basedOn w:val="Normal"/>
    <w:uiPriority w:val="99"/>
    <w:unhideWhenUsed w:val="1"/>
    <w:rsid w:val="009041BC"/>
    <w:pPr>
      <w:spacing w:after="100" w:afterAutospacing="1" w:before="100" w:beforeAutospacing="1"/>
    </w:pPr>
    <w:rPr>
      <w:rFonts w:ascii="Times New Roman" w:hAnsi="Times New Roman"/>
    </w:rPr>
  </w:style>
  <w:style w:type="character" w:styleId="UnresolvedMention">
    <w:name w:val="Unresolved Mention"/>
    <w:basedOn w:val="DefaultParagraphFont"/>
    <w:rsid w:val="000774D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yperlink" Target="https://doi.org/10.1016/j.jbiomech.2004.03.025" TargetMode="External"/><Relationship Id="rId9" Type="http://schemas.openxmlformats.org/officeDocument/2006/relationships/hyperlink" Target="mailto:em@editorialmanag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EkrUIwX/3R3LOteR4V2r1GTUbg==">AMUW2mX1vYkT0fyUcNkZkuQHCFd0b40ZZZS3Q7qrHJFFKIeAi8gFn8MZYM2Srw1/lVMr7jo8rya0+pm6ZAKAciARd3trE/liR+PbPWfxisxHCAnefWv0kNg=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2021-05-08T21:37:00Z</dcterms:created>
  <dc:creator>Microsoft Office User</dc:creator>
</cp:coreProperties>
</file>