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B548" w14:textId="1870097C" w:rsidR="00B77246" w:rsidRPr="00B77246" w:rsidRDefault="00B77246" w:rsidP="00B77246">
      <w:pPr>
        <w:pStyle w:val="Heading1"/>
      </w:pPr>
      <w:r w:rsidRPr="00B77246">
        <w:t>Title</w:t>
      </w:r>
    </w:p>
    <w:p w14:paraId="49B0ED77" w14:textId="2392C5AD" w:rsidR="00B77246" w:rsidRPr="00B77246" w:rsidRDefault="00B77246" w:rsidP="001C4DE0">
      <w:pPr>
        <w:pStyle w:val="BodyText"/>
        <w:rPr>
          <w:lang w:val="en-US"/>
        </w:rPr>
      </w:pPr>
      <w:r w:rsidRPr="00B77246">
        <w:rPr>
          <w:lang w:val="en-US"/>
        </w:rPr>
        <w:t>The Effect of Bicycle Lean on Maximal Power Output During Non-Seated Cycling</w:t>
      </w:r>
    </w:p>
    <w:p w14:paraId="1ABA6F50" w14:textId="77777777" w:rsidR="00B77246" w:rsidRPr="00B77246" w:rsidRDefault="00B77246" w:rsidP="00B77246">
      <w:pPr>
        <w:pStyle w:val="Heading2"/>
      </w:pPr>
      <w:r w:rsidRPr="00B77246">
        <w:t>Manuscript type</w:t>
      </w:r>
    </w:p>
    <w:p w14:paraId="2EC24ABA" w14:textId="06C6FBE7" w:rsidR="00B77246" w:rsidRPr="00B77246" w:rsidRDefault="00B77246" w:rsidP="001C4DE0">
      <w:pPr>
        <w:pStyle w:val="BodyText"/>
        <w:rPr>
          <w:rFonts w:ascii="Times New Roman" w:hAnsi="Times New Roman" w:cs="Times New Roman"/>
          <w:lang w:val="en-US"/>
        </w:rPr>
      </w:pPr>
      <w:r w:rsidRPr="00B77246">
        <w:rPr>
          <w:lang w:val="en-US"/>
        </w:rPr>
        <w:t>Original Article</w:t>
      </w:r>
    </w:p>
    <w:p w14:paraId="31E6DB31" w14:textId="77777777" w:rsidR="00B77246" w:rsidRPr="00B77246" w:rsidRDefault="00B77246" w:rsidP="00B77246">
      <w:pPr>
        <w:pStyle w:val="Heading2"/>
      </w:pPr>
      <w:r w:rsidRPr="00B77246">
        <w:t>Authors</w:t>
      </w:r>
    </w:p>
    <w:p w14:paraId="6EB98424" w14:textId="398023E8" w:rsidR="00B77246" w:rsidRPr="00B77246" w:rsidRDefault="00B77246" w:rsidP="001C4DE0">
      <w:pPr>
        <w:pStyle w:val="BodyText"/>
        <w:rPr>
          <w:rFonts w:ascii="Times New Roman" w:hAnsi="Times New Roman" w:cs="Times New Roman"/>
          <w:vertAlign w:val="superscript"/>
          <w:lang w:val="en-US"/>
        </w:rPr>
      </w:pPr>
      <w:r w:rsidRPr="00B77246">
        <w:rPr>
          <w:lang w:val="en-US"/>
        </w:rPr>
        <w:t>Ross D. Wilkinson</w:t>
      </w:r>
      <w:r w:rsidRPr="00B77246">
        <w:rPr>
          <w:vertAlign w:val="superscript"/>
          <w:lang w:val="en-US"/>
        </w:rPr>
        <w:t>1</w:t>
      </w:r>
      <w:r w:rsidRPr="00B77246">
        <w:rPr>
          <w:lang w:val="en-US"/>
        </w:rPr>
        <w:t xml:space="preserve"> and Rodger Kram</w:t>
      </w:r>
      <w:r>
        <w:rPr>
          <w:vertAlign w:val="superscript"/>
          <w:lang w:val="en-US"/>
        </w:rPr>
        <w:t>1</w:t>
      </w:r>
    </w:p>
    <w:p w14:paraId="7292B22E" w14:textId="24D0272E" w:rsidR="00B77246" w:rsidRPr="00B77246" w:rsidRDefault="00B77246" w:rsidP="00B77246">
      <w:pPr>
        <w:pStyle w:val="Heading2"/>
      </w:pPr>
      <w:r w:rsidRPr="00B77246">
        <w:t>Institutional affiliation/s</w:t>
      </w:r>
    </w:p>
    <w:p w14:paraId="5E0F54F8" w14:textId="744CD623" w:rsidR="00B77246" w:rsidRPr="00B77246" w:rsidRDefault="00B77246" w:rsidP="001C4DE0">
      <w:pPr>
        <w:pStyle w:val="BodyText"/>
        <w:rPr>
          <w:rFonts w:ascii="Times New Roman" w:hAnsi="Times New Roman" w:cs="Times New Roman"/>
          <w:lang w:val="en-US"/>
        </w:rPr>
      </w:pPr>
      <w:r w:rsidRPr="00B77246">
        <w:rPr>
          <w:vertAlign w:val="superscript"/>
          <w:lang w:val="en-US"/>
        </w:rPr>
        <w:t>1</w:t>
      </w:r>
      <w:r w:rsidRPr="00B77246">
        <w:rPr>
          <w:lang w:val="en-US"/>
        </w:rPr>
        <w:t>University of Colorado, Department of Integrative Physiology, Locomotion Laboratory, Boulder, CO, United States.</w:t>
      </w:r>
    </w:p>
    <w:p w14:paraId="3CF9DDFB" w14:textId="5E97B4A6" w:rsidR="00B77246" w:rsidRDefault="00B77246" w:rsidP="00B77246">
      <w:pPr>
        <w:pStyle w:val="Heading2"/>
        <w:rPr>
          <w:rFonts w:eastAsia="Times New Roman"/>
          <w:lang w:val="en-US"/>
        </w:rPr>
      </w:pPr>
      <w:r w:rsidRPr="00B77246">
        <w:rPr>
          <w:rFonts w:eastAsia="Times New Roman"/>
          <w:lang w:val="en-US"/>
        </w:rPr>
        <w:t>Corresponding author</w:t>
      </w:r>
    </w:p>
    <w:p w14:paraId="0D3BA84E" w14:textId="2792920E" w:rsidR="00B77246" w:rsidRPr="00B77246" w:rsidRDefault="00B77246" w:rsidP="001C4DE0">
      <w:pPr>
        <w:pStyle w:val="BodyText"/>
        <w:rPr>
          <w:rFonts w:ascii="Times New Roman" w:hAnsi="Times New Roman" w:cs="Times New Roman"/>
          <w:lang w:val="en-US"/>
        </w:rPr>
      </w:pPr>
      <w:r w:rsidRPr="00B77246">
        <w:rPr>
          <w:lang w:val="en-US"/>
        </w:rPr>
        <w:t>Ross D. Wilkinson</w:t>
      </w:r>
    </w:p>
    <w:p w14:paraId="17D3B3CB" w14:textId="13F5FA80" w:rsidR="00B77246" w:rsidRDefault="00B77246" w:rsidP="00B77246">
      <w:pPr>
        <w:pStyle w:val="Heading2"/>
        <w:rPr>
          <w:rFonts w:eastAsia="Times New Roman"/>
          <w:lang w:val="en-US"/>
        </w:rPr>
      </w:pPr>
      <w:r w:rsidRPr="00B77246">
        <w:rPr>
          <w:rFonts w:eastAsia="Times New Roman"/>
          <w:lang w:val="en-US"/>
        </w:rPr>
        <w:t>Mailing address</w:t>
      </w:r>
    </w:p>
    <w:p w14:paraId="44B475A1" w14:textId="15E1F07D" w:rsidR="00B77246" w:rsidRPr="00B77246" w:rsidRDefault="00B77246" w:rsidP="001C4DE0">
      <w:pPr>
        <w:pStyle w:val="BodyText"/>
        <w:rPr>
          <w:rFonts w:ascii="Times New Roman" w:hAnsi="Times New Roman" w:cs="Times New Roman"/>
          <w:lang w:val="en-US"/>
        </w:rPr>
      </w:pPr>
      <w:r w:rsidRPr="00B77246">
        <w:rPr>
          <w:lang w:val="en-US"/>
        </w:rPr>
        <w:t>Department of Integrative Physiology, University of Colorado Boulder, 1725 Pleasant Street, Clare Small 114, Boulder, CO 80309-0354</w:t>
      </w:r>
    </w:p>
    <w:p w14:paraId="70644B99" w14:textId="7869B081" w:rsidR="00B77246" w:rsidRDefault="00B77246" w:rsidP="00B77246">
      <w:pPr>
        <w:pStyle w:val="Heading2"/>
        <w:rPr>
          <w:rFonts w:eastAsia="Times New Roman"/>
          <w:lang w:val="en-US"/>
        </w:rPr>
      </w:pPr>
      <w:r w:rsidRPr="00B77246">
        <w:rPr>
          <w:rFonts w:eastAsia="Times New Roman"/>
          <w:lang w:val="en-US"/>
        </w:rPr>
        <w:t>Telephone</w:t>
      </w:r>
    </w:p>
    <w:p w14:paraId="5A116B4B" w14:textId="2FA5380E" w:rsidR="00B77246" w:rsidRPr="00B77246" w:rsidRDefault="00B77246" w:rsidP="001C4DE0">
      <w:pPr>
        <w:pStyle w:val="BodyText"/>
        <w:rPr>
          <w:rFonts w:ascii="Times New Roman" w:hAnsi="Times New Roman" w:cs="Times New Roman"/>
          <w:lang w:val="en-US"/>
        </w:rPr>
      </w:pPr>
      <w:r w:rsidRPr="00B77246">
        <w:rPr>
          <w:lang w:val="en-US"/>
        </w:rPr>
        <w:t>+1 303-492-7333</w:t>
      </w:r>
    </w:p>
    <w:p w14:paraId="0831130D" w14:textId="77777777" w:rsidR="00B77246" w:rsidRDefault="00B77246" w:rsidP="00B77246">
      <w:pPr>
        <w:pStyle w:val="Heading2"/>
        <w:rPr>
          <w:rFonts w:eastAsia="Times New Roman"/>
          <w:lang w:val="en-US"/>
        </w:rPr>
      </w:pPr>
      <w:r w:rsidRPr="00B77246">
        <w:rPr>
          <w:rFonts w:eastAsia="Times New Roman"/>
          <w:lang w:val="en-US"/>
        </w:rPr>
        <w:t>E-mail address</w:t>
      </w:r>
    </w:p>
    <w:p w14:paraId="694DF2DC" w14:textId="7268D165" w:rsidR="00B77246" w:rsidRPr="00B77246" w:rsidRDefault="00AF1F36" w:rsidP="001C4DE0">
      <w:pPr>
        <w:pStyle w:val="BodyText"/>
        <w:rPr>
          <w:lang w:val="en-US"/>
        </w:rPr>
      </w:pPr>
      <w:hyperlink r:id="rId6" w:history="1">
        <w:r w:rsidR="00B77246" w:rsidRPr="00B77246">
          <w:rPr>
            <w:rFonts w:ascii="Arial" w:hAnsi="Arial" w:cs="Arial"/>
            <w:color w:val="1155CC"/>
            <w:sz w:val="22"/>
            <w:szCs w:val="22"/>
            <w:u w:val="single"/>
            <w:lang w:val="en-US"/>
          </w:rPr>
          <w:t>ross.wilkinson@colorado.edu</w:t>
        </w:r>
      </w:hyperlink>
    </w:p>
    <w:p w14:paraId="45FB8226" w14:textId="584C7F99" w:rsidR="00B77246" w:rsidRDefault="00B77246" w:rsidP="00B77246">
      <w:pPr>
        <w:pStyle w:val="Heading2"/>
        <w:rPr>
          <w:rFonts w:eastAsia="Times New Roman"/>
          <w:lang w:val="en-US"/>
        </w:rPr>
      </w:pPr>
      <w:r w:rsidRPr="00B77246">
        <w:rPr>
          <w:rFonts w:eastAsia="Times New Roman"/>
          <w:lang w:val="en-US"/>
        </w:rPr>
        <w:t>Word Count</w:t>
      </w:r>
    </w:p>
    <w:p w14:paraId="10B29E1B" w14:textId="0B8525DD" w:rsidR="00B77246" w:rsidRPr="00B77246" w:rsidRDefault="00B77246" w:rsidP="001C4DE0">
      <w:pPr>
        <w:pStyle w:val="BodyText"/>
        <w:rPr>
          <w:rFonts w:ascii="Times New Roman" w:hAnsi="Times New Roman" w:cs="Times New Roman"/>
          <w:lang w:val="en-US"/>
        </w:rPr>
        <w:sectPr w:rsidR="00B77246" w:rsidRPr="00B77246" w:rsidSect="002A3AA4">
          <w:pgSz w:w="12240" w:h="15840"/>
          <w:pgMar w:top="1440" w:right="1440" w:bottom="1440" w:left="1440" w:header="720" w:footer="720" w:gutter="0"/>
          <w:cols w:space="720"/>
          <w:docGrid w:linePitch="360"/>
        </w:sectPr>
      </w:pPr>
      <w:r w:rsidRPr="00B77246">
        <w:rPr>
          <w:lang w:val="en-US"/>
        </w:rPr>
        <w:t>TBC</w:t>
      </w:r>
    </w:p>
    <w:p w14:paraId="56CF0E37" w14:textId="08DBC9CE" w:rsidR="00B77246" w:rsidRPr="00B77246" w:rsidRDefault="004F0029" w:rsidP="00B77246">
      <w:pPr>
        <w:pStyle w:val="Heading1"/>
        <w:rPr>
          <w:lang w:val="en-US"/>
        </w:rPr>
      </w:pPr>
      <w:r>
        <w:rPr>
          <w:lang w:val="en-US"/>
        </w:rPr>
        <w:lastRenderedPageBreak/>
        <w:t>Abstract</w:t>
      </w:r>
    </w:p>
    <w:p w14:paraId="34E8DD1B" w14:textId="77777777" w:rsidR="004F0029" w:rsidRPr="004F0029" w:rsidRDefault="004F0029" w:rsidP="004F0029">
      <w:pPr>
        <w:pStyle w:val="BodyText"/>
        <w:rPr>
          <w:lang w:val="en-US"/>
        </w:rPr>
      </w:pPr>
    </w:p>
    <w:p w14:paraId="4C22D3E5" w14:textId="77777777" w:rsidR="00B77246" w:rsidRDefault="00B77246" w:rsidP="004F33BB">
      <w:pPr>
        <w:pStyle w:val="Heading1"/>
        <w:rPr>
          <w:lang w:val="en-US"/>
        </w:rPr>
        <w:sectPr w:rsidR="00B77246" w:rsidSect="002A3AA4">
          <w:pgSz w:w="12240" w:h="15840"/>
          <w:pgMar w:top="1440" w:right="1440" w:bottom="1440" w:left="1440" w:header="720" w:footer="720" w:gutter="0"/>
          <w:cols w:space="720"/>
          <w:docGrid w:linePitch="360"/>
        </w:sectPr>
      </w:pPr>
    </w:p>
    <w:p w14:paraId="61C9D00D" w14:textId="1AA4A273" w:rsidR="004F0029" w:rsidRDefault="004F0029" w:rsidP="00CC0315">
      <w:pPr>
        <w:pStyle w:val="Heading1"/>
        <w:rPr>
          <w:lang w:val="en-US"/>
        </w:rPr>
      </w:pPr>
      <w:r>
        <w:rPr>
          <w:lang w:val="en-US"/>
        </w:rPr>
        <w:lastRenderedPageBreak/>
        <w:t>Introduction</w:t>
      </w:r>
    </w:p>
    <w:p w14:paraId="0D864862" w14:textId="4949208E" w:rsidR="00C917A5" w:rsidRDefault="00C917A5" w:rsidP="001C4DE0">
      <w:pPr>
        <w:pStyle w:val="BodyText"/>
      </w:pPr>
      <w:r>
        <w:t>Clues can be drawn from maximal power output achieved during jump squats using free-weights versus in a smith machine.</w:t>
      </w:r>
    </w:p>
    <w:p w14:paraId="2C580F21" w14:textId="77777777" w:rsidR="00C917A5" w:rsidRDefault="00C917A5" w:rsidP="001C4DE0">
      <w:pPr>
        <w:pStyle w:val="BodyText"/>
      </w:pPr>
    </w:p>
    <w:p w14:paraId="3016A1E2" w14:textId="4664365C" w:rsidR="001C4DE0" w:rsidRDefault="001C4DE0" w:rsidP="001C4DE0">
      <w:pPr>
        <w:pStyle w:val="BodyText"/>
      </w:pPr>
      <w:r w:rsidRPr="001C4DE0">
        <w:t>Our primary objective was to...</w:t>
      </w:r>
    </w:p>
    <w:p w14:paraId="45DD67C6" w14:textId="77777777" w:rsidR="00E27737" w:rsidRDefault="001C4DE0" w:rsidP="001C4DE0">
      <w:pPr>
        <w:pStyle w:val="BodyText"/>
      </w:pPr>
      <w:r>
        <w:t>We compared three bicycle-lean conditions: 1</w:t>
      </w:r>
      <w:r w:rsidR="00E27737">
        <w:t>) u</w:t>
      </w:r>
      <w:r>
        <w:t xml:space="preserve">sing a </w:t>
      </w:r>
      <w:r w:rsidR="00E27737">
        <w:t>preferred amount of bicycle lean (“a</w:t>
      </w:r>
      <w:r>
        <w:t>d libitum</w:t>
      </w:r>
      <w:r w:rsidR="00E27737">
        <w:t>”), 2</w:t>
      </w:r>
      <w:proofErr w:type="gramStart"/>
      <w:r w:rsidR="00E27737">
        <w:t>) ,</w:t>
      </w:r>
      <w:proofErr w:type="gramEnd"/>
      <w:r w:rsidR="00E27737">
        <w:t xml:space="preserve"> and 3) .</w:t>
      </w:r>
    </w:p>
    <w:p w14:paraId="5ACB5AB8" w14:textId="77777777" w:rsidR="00C917A5" w:rsidRDefault="00C917A5" w:rsidP="001C4DE0">
      <w:pPr>
        <w:pStyle w:val="BodyText"/>
      </w:pPr>
    </w:p>
    <w:p w14:paraId="7C6E3BD4" w14:textId="0FF59114" w:rsidR="001C4DE0" w:rsidRDefault="00E27737" w:rsidP="001C4DE0">
      <w:pPr>
        <w:pStyle w:val="BodyText"/>
      </w:pPr>
      <w:r>
        <w:t xml:space="preserve">Based on previous experimental results (Wilkinson, </w:t>
      </w:r>
      <w:proofErr w:type="spellStart"/>
      <w:r>
        <w:t>Cresswell</w:t>
      </w:r>
      <w:proofErr w:type="spellEnd"/>
      <w:r>
        <w:t xml:space="preserve">, and </w:t>
      </w:r>
      <w:proofErr w:type="spellStart"/>
      <w:r>
        <w:t>Lichtwark</w:t>
      </w:r>
      <w:proofErr w:type="spellEnd"/>
      <w:r>
        <w:t>, unpublished findings), we hypothesised that during a 5-s sprint, maximal power output would decrease in an ordered fashion from locked to ad libitum and then to self-restricted.</w:t>
      </w:r>
    </w:p>
    <w:p w14:paraId="0D83AFA2" w14:textId="77777777" w:rsidR="00C917A5" w:rsidRDefault="00C917A5" w:rsidP="001C4DE0">
      <w:pPr>
        <w:pStyle w:val="BodyText"/>
      </w:pPr>
    </w:p>
    <w:p w14:paraId="42C44661" w14:textId="5DE0A0BF" w:rsidR="00E27737" w:rsidRDefault="00C917A5" w:rsidP="001C4DE0">
      <w:pPr>
        <w:pStyle w:val="BodyText"/>
      </w:pPr>
      <w:r>
        <w:t>We statistically tested the null hypothesis that there would be no differences in maximal power output between the three bicycle-lean conditions.</w:t>
      </w:r>
    </w:p>
    <w:p w14:paraId="38F8C37C" w14:textId="6F4D1D69" w:rsidR="00CC0315" w:rsidRPr="001C4DE0" w:rsidRDefault="001C4DE0" w:rsidP="001C4DE0">
      <w:pPr>
        <w:pStyle w:val="BodyText"/>
      </w:pPr>
      <w:r w:rsidRPr="001C4DE0">
        <w:t xml:space="preserve"> </w:t>
      </w:r>
    </w:p>
    <w:p w14:paraId="1A77B704" w14:textId="77777777" w:rsidR="001C4DE0" w:rsidRDefault="001C4DE0" w:rsidP="00CC0315">
      <w:pPr>
        <w:pStyle w:val="BodyText"/>
        <w:rPr>
          <w:lang w:val="en-US"/>
        </w:rPr>
      </w:pPr>
    </w:p>
    <w:p w14:paraId="4E370993" w14:textId="77777777" w:rsidR="001C4DE0" w:rsidRPr="00CC0315" w:rsidRDefault="001C4DE0" w:rsidP="00CC0315">
      <w:pPr>
        <w:pStyle w:val="BodyText"/>
        <w:rPr>
          <w:lang w:val="en-US"/>
        </w:rPr>
      </w:pPr>
    </w:p>
    <w:p w14:paraId="21475CDA" w14:textId="77777777" w:rsidR="00DE13AA" w:rsidRDefault="00DE13AA" w:rsidP="004F33BB">
      <w:pPr>
        <w:pStyle w:val="Heading1"/>
        <w:sectPr w:rsidR="00DE13AA" w:rsidSect="002A3AA4">
          <w:pgSz w:w="12240" w:h="15840"/>
          <w:pgMar w:top="1440" w:right="1440" w:bottom="1440" w:left="1440" w:header="720" w:footer="720" w:gutter="0"/>
          <w:cols w:space="720"/>
          <w:docGrid w:linePitch="360"/>
        </w:sectPr>
      </w:pPr>
    </w:p>
    <w:p w14:paraId="3C49C2A2" w14:textId="087590F9" w:rsidR="004F0029" w:rsidRDefault="004F0029" w:rsidP="004F33BB">
      <w:pPr>
        <w:pStyle w:val="Heading1"/>
      </w:pPr>
      <w:r w:rsidRPr="004F33BB">
        <w:lastRenderedPageBreak/>
        <w:t>M</w:t>
      </w:r>
      <w:r w:rsidR="00B77246">
        <w:t>aterial and m</w:t>
      </w:r>
      <w:r w:rsidRPr="004F33BB">
        <w:t>ethods</w:t>
      </w:r>
    </w:p>
    <w:p w14:paraId="4B4CA6F2" w14:textId="77777777" w:rsidR="00B77246" w:rsidRPr="00B77246" w:rsidRDefault="00B77246" w:rsidP="00B77246">
      <w:pPr>
        <w:pStyle w:val="Heading2"/>
      </w:pPr>
      <w:r w:rsidRPr="00B77246">
        <w:t>Experimental design</w:t>
      </w:r>
    </w:p>
    <w:p w14:paraId="56AD7E09" w14:textId="77777777" w:rsidR="00B77246" w:rsidRDefault="00B77246" w:rsidP="00B77246">
      <w:r>
        <w:t xml:space="preserve">Twenty-six healthy adults voluntarily completed this study (? men/? women, age:  </w:t>
      </w:r>
      <w:proofErr w:type="gramStart"/>
      <w:r>
        <w:t>±  years</w:t>
      </w:r>
      <w:proofErr w:type="gramEnd"/>
      <w:r>
        <w:t>, height: ±  m, mass: ± kg). All subjects gave written informed consent according to the procedures approved by the University of Colorado Boulder’s Institutional Review Board. Participants were asked to avoid intense exercise in the 12 h before each session.</w:t>
      </w:r>
    </w:p>
    <w:p w14:paraId="58C8FD3A" w14:textId="77777777" w:rsidR="00B77246" w:rsidRDefault="00B77246" w:rsidP="00B77246">
      <w:r>
        <w:t> </w:t>
      </w:r>
    </w:p>
    <w:p w14:paraId="31A791BB" w14:textId="77777777" w:rsidR="00B77246" w:rsidRDefault="00B77246" w:rsidP="00B77246">
      <w:r>
        <w:t>Testing was performed on a friction-loaded ergometer equipped with a crank-based mechanical power meter (</w:t>
      </w:r>
      <w:proofErr w:type="spellStart"/>
      <w:r>
        <w:t>Quarq</w:t>
      </w:r>
      <w:proofErr w:type="spellEnd"/>
      <w:r>
        <w:t xml:space="preserve"> </w:t>
      </w:r>
      <w:proofErr w:type="spellStart"/>
      <w:r>
        <w:t>DZero</w:t>
      </w:r>
      <w:proofErr w:type="spellEnd"/>
      <w:r>
        <w:t xml:space="preserve">, SRAM, Corp, Chicago, IL, USA) with 172.5 mm long cranks. Participants wore their own cycling shoes that clipped into the pedals.  </w:t>
      </w:r>
      <w:r>
        <w:rPr>
          <w:rFonts w:ascii="Calibri" w:hAnsi="Calibri" w:cs="Calibri"/>
        </w:rPr>
        <w:t>﻿</w:t>
      </w:r>
      <w:r>
        <w:t xml:space="preserve">The geometry of the ergometer was matched to the participant’s bicycle. Resistance at the pedals was provided by a rope wrapped around the circumference of a rotating flywheel, with a hanging weight attached at one end (See Figure 1A). The hanging weight was coupled to resistance at the pedals due to the friction force of the rope sliding on the fly wheel. Cadence was measured using a crank-mounted sensor. Power and cadence were recorded by a cycling computer mounted to the handlebar (Edge 1000, Garmin Ltd, Olathe, KA, USA). The power meter was calibrated prior to each testing session. Based on the differences in the calibration factor and cadence of 120 rpm, the precision of the power meter between sessions was estimated to be ± 3.4 W. The friction-loaded ergometer was modified to either constrain or allow side-to-side lean in the frontal plane (See Figure 1A). The ergometer was mounted atop a hinged platform, which provided motion in the frontal plane. In the constrained condition, no movement in the frontal plane </w:t>
      </w:r>
      <w:r>
        <w:lastRenderedPageBreak/>
        <w:t xml:space="preserve">could occur as the platform’s pivot joints were braced using additional pieces of </w:t>
      </w:r>
      <w:proofErr w:type="spellStart"/>
      <w:r>
        <w:t>aluminum</w:t>
      </w:r>
      <w:proofErr w:type="spellEnd"/>
      <w:r>
        <w:t xml:space="preserve"> framing. In the lean and self-restricted conditions, springs attached to the rear legs of the ergometer provided a restoring force proportional to the lean angle of the bicycle. This spring mechanism was designed to replicate the lateral dynamics of a bicycle, which can be reduced to the equations of motion for an underdamped simple harmonic oscillator. Participants warmed up for the laboratory test by cycling at a low-intensity for 15 min followed by three short (5-s) maximal sprints, each separated by 3-min recovery. These warm-up sprints were performed under the lean condition, which familiarized the participant to the side-to-side movement of the ergometer and also allowed the resistance of the ergometer to be individualized for each participant to ensure valid maximal 1-s power output test results. A further 10-min recovery was given after the warm-up, before participants performed nine maximal 5-s sprints from rest in a non-seated posture, with 3-min recovery between each. The order of the trials was quasi-randomized to eliminate the effect of trial order.</w:t>
      </w:r>
    </w:p>
    <w:p w14:paraId="048E8FD9" w14:textId="77777777" w:rsidR="00B77246" w:rsidRDefault="00B77246" w:rsidP="00B77246">
      <w:pPr>
        <w:pStyle w:val="Heading2"/>
        <w:spacing w:before="240" w:after="120"/>
        <w:rPr>
          <w:color w:val="000000"/>
        </w:rPr>
      </w:pPr>
      <w:r>
        <w:rPr>
          <w:rFonts w:ascii="Arial" w:hAnsi="Arial" w:cs="Arial"/>
          <w:b w:val="0"/>
          <w:bCs/>
          <w:color w:val="000000"/>
          <w:sz w:val="32"/>
          <w:szCs w:val="32"/>
        </w:rPr>
        <w:t>Data analysis</w:t>
      </w:r>
    </w:p>
    <w:p w14:paraId="6EE7983C" w14:textId="45C834E0" w:rsidR="00B77246" w:rsidRDefault="00B77246" w:rsidP="00B77246">
      <w:r>
        <w:t>Torque (</w:t>
      </w:r>
      <w:r>
        <w:rPr>
          <w:rFonts w:ascii="Cambria Math" w:hAnsi="Cambria Math" w:cs="Cambria Math"/>
        </w:rPr>
        <w:t>𝑇</w:t>
      </w:r>
      <w:r>
        <w:t>) was calculated from the recorded power (</w:t>
      </w:r>
      <w:r>
        <w:rPr>
          <w:rFonts w:ascii="Cambria Math" w:hAnsi="Cambria Math" w:cs="Cambria Math"/>
        </w:rPr>
        <w:t>𝑃</w:t>
      </w:r>
      <w:r>
        <w:t>) and cadence (</w:t>
      </w:r>
      <w:r>
        <w:rPr>
          <w:rFonts w:ascii="Cambria Math" w:hAnsi="Cambria Math" w:cs="Cambria Math"/>
        </w:rPr>
        <w:t>𝐶</w:t>
      </w:r>
      <w:r>
        <w:t>) data using Equation 1.</w:t>
      </w:r>
    </w:p>
    <w:tbl>
      <w:tblPr>
        <w:tblW w:w="5000" w:type="pct"/>
        <w:tblCellMar>
          <w:top w:w="15" w:type="dxa"/>
          <w:left w:w="15" w:type="dxa"/>
          <w:bottom w:w="15" w:type="dxa"/>
          <w:right w:w="15" w:type="dxa"/>
        </w:tblCellMar>
        <w:tblLook w:val="04A0" w:firstRow="1" w:lastRow="0" w:firstColumn="1" w:lastColumn="0" w:noHBand="0" w:noVBand="1"/>
      </w:tblPr>
      <w:tblGrid>
        <w:gridCol w:w="8104"/>
        <w:gridCol w:w="1256"/>
      </w:tblGrid>
      <w:tr w:rsidR="00B77246" w14:paraId="4EE12437" w14:textId="77777777" w:rsidTr="00CC0315">
        <w:tc>
          <w:tcPr>
            <w:tcW w:w="4329" w:type="pct"/>
            <w:tcMar>
              <w:top w:w="100" w:type="dxa"/>
              <w:left w:w="100" w:type="dxa"/>
              <w:bottom w:w="100" w:type="dxa"/>
              <w:right w:w="100" w:type="dxa"/>
            </w:tcMar>
            <w:vAlign w:val="center"/>
            <w:hideMark/>
          </w:tcPr>
          <w:p w14:paraId="36B037DA" w14:textId="0BF9CDC9" w:rsidR="00B77246" w:rsidRDefault="00CC0315" w:rsidP="00CC0315">
            <w:pPr>
              <w:jc w:val="center"/>
            </w:pPr>
            <m:oMathPara>
              <m:oMath>
                <m:r>
                  <w:rPr>
                    <w:rFonts w:ascii="Cambria Math" w:hAnsi="Cambria Math"/>
                  </w:rPr>
                  <m:t>T=</m:t>
                </m:r>
                <m:f>
                  <m:fPr>
                    <m:ctrlPr>
                      <w:rPr>
                        <w:rFonts w:ascii="Cambria Math" w:hAnsi="Cambria Math"/>
                        <w:i/>
                      </w:rPr>
                    </m:ctrlPr>
                  </m:fPr>
                  <m:num>
                    <m:r>
                      <w:rPr>
                        <w:rFonts w:ascii="Cambria Math" w:hAnsi="Cambria Math"/>
                      </w:rPr>
                      <m:t>P×60</m:t>
                    </m:r>
                  </m:num>
                  <m:den>
                    <m:r>
                      <w:rPr>
                        <w:rFonts w:ascii="Cambria Math" w:hAnsi="Cambria Math"/>
                      </w:rPr>
                      <m:t>C×2×π</m:t>
                    </m:r>
                  </m:den>
                </m:f>
              </m:oMath>
            </m:oMathPara>
          </w:p>
        </w:tc>
        <w:tc>
          <w:tcPr>
            <w:tcW w:w="671" w:type="pct"/>
            <w:tcMar>
              <w:top w:w="100" w:type="dxa"/>
              <w:left w:w="100" w:type="dxa"/>
              <w:bottom w:w="100" w:type="dxa"/>
              <w:right w:w="100" w:type="dxa"/>
            </w:tcMar>
            <w:vAlign w:val="center"/>
            <w:hideMark/>
          </w:tcPr>
          <w:p w14:paraId="215B83EF" w14:textId="77777777" w:rsidR="00B77246" w:rsidRDefault="00B77246" w:rsidP="00CC0315">
            <w:pPr>
              <w:jc w:val="center"/>
            </w:pPr>
            <w:r>
              <w:t>(1)</w:t>
            </w:r>
          </w:p>
        </w:tc>
      </w:tr>
    </w:tbl>
    <w:p w14:paraId="17E90E53" w14:textId="10EECEE4" w:rsidR="00B77246" w:rsidRDefault="00B77246" w:rsidP="00B77246">
      <w:r>
        <w:t xml:space="preserve">In the above equation </w:t>
      </w:r>
      <w:r>
        <w:rPr>
          <w:rFonts w:ascii="Cambria Math" w:hAnsi="Cambria Math" w:cs="Cambria Math"/>
        </w:rPr>
        <w:t>𝑇</w:t>
      </w:r>
      <w:r>
        <w:t xml:space="preserve"> is in units of Newton meters, P</w:t>
      </w:r>
      <w:r w:rsidR="00CC0315">
        <w:t xml:space="preserve"> </w:t>
      </w:r>
      <w:r>
        <w:t>is in Watts, and C</w:t>
      </w:r>
      <w:r w:rsidR="00CC0315">
        <w:t xml:space="preserve"> </w:t>
      </w:r>
      <w:r>
        <w:t>is in revolutions per minute. Linear regression analyses were performed to determine the torque-cadence relationship for each participant using each data point during the 5-s sprint. This torque-</w:t>
      </w:r>
      <w:r>
        <w:lastRenderedPageBreak/>
        <w:t>cadence relationship was then used to construct the power-cadence relationship using Equation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CC0315" w14:paraId="6CA9FD53" w14:textId="77777777" w:rsidTr="00CC0315">
        <w:tc>
          <w:tcPr>
            <w:tcW w:w="8095" w:type="dxa"/>
          </w:tcPr>
          <w:p w14:paraId="3F387463" w14:textId="5B6043EF" w:rsidR="00CC0315" w:rsidRDefault="00CC0315" w:rsidP="00B77246">
            <m:oMathPara>
              <m:oMath>
                <m:r>
                  <w:rPr>
                    <w:rFonts w:ascii="Cambria Math" w:hAnsi="Cambria Math"/>
                  </w:rPr>
                  <m:t>P=</m:t>
                </m:r>
                <m:f>
                  <m:fPr>
                    <m:ctrlPr>
                      <w:rPr>
                        <w:rFonts w:ascii="Cambria Math" w:hAnsi="Cambria Math"/>
                        <w:i/>
                      </w:rPr>
                    </m:ctrlPr>
                  </m:fPr>
                  <m:num>
                    <m:r>
                      <w:rPr>
                        <w:rFonts w:ascii="Cambria Math" w:hAnsi="Cambria Math"/>
                      </w:rPr>
                      <m:t>T×C×2×π</m:t>
                    </m:r>
                  </m:num>
                  <m:den>
                    <m:r>
                      <w:rPr>
                        <w:rFonts w:ascii="Cambria Math" w:hAnsi="Cambria Math"/>
                      </w:rPr>
                      <m:t>60</m:t>
                    </m:r>
                  </m:den>
                </m:f>
              </m:oMath>
            </m:oMathPara>
          </w:p>
        </w:tc>
        <w:tc>
          <w:tcPr>
            <w:tcW w:w="1255" w:type="dxa"/>
          </w:tcPr>
          <w:p w14:paraId="73D5D06E" w14:textId="28A4A9B2" w:rsidR="00CC0315" w:rsidRDefault="00CC0315" w:rsidP="00CC0315">
            <w:pPr>
              <w:jc w:val="center"/>
            </w:pPr>
            <w:r>
              <w:t>(2)</w:t>
            </w:r>
          </w:p>
        </w:tc>
      </w:tr>
    </w:tbl>
    <w:p w14:paraId="0AE3038E" w14:textId="41A70EB7" w:rsidR="00B77246" w:rsidRDefault="00B77246" w:rsidP="00B77246">
      <w:r>
        <w:t xml:space="preserve">The </w:t>
      </w:r>
      <w:proofErr w:type="spellStart"/>
      <w:r>
        <w:t>CoM</w:t>
      </w:r>
      <w:proofErr w:type="spellEnd"/>
      <w:r>
        <w:t xml:space="preserve"> motion of each rider was estimated using a single 9-axis Inertial Measurement Unit (</w:t>
      </w:r>
      <w:proofErr w:type="spellStart"/>
      <w:r>
        <w:t>BlueThunder</w:t>
      </w:r>
      <w:proofErr w:type="spellEnd"/>
      <w:r>
        <w:t xml:space="preserve"> Sensor, </w:t>
      </w:r>
      <w:proofErr w:type="spellStart"/>
      <w:r>
        <w:t>IMeasureU</w:t>
      </w:r>
      <w:proofErr w:type="spellEnd"/>
      <w:r>
        <w:t xml:space="preserve">, Auckland, New Zealand) secured to the rider's skin at the intersection of </w:t>
      </w:r>
      <w:proofErr w:type="spellStart"/>
      <w:r>
        <w:t>Tuffier’s</w:t>
      </w:r>
      <w:proofErr w:type="spellEnd"/>
      <w:r>
        <w:t xml:space="preserve"> line and lumbar spine midline (L4 spinous process) using double-sided tape. A self-adhesive bandage was then wrapped around the IMU and the torso of the rider to limit soft-tissue artifact. The IMU Research Application (</w:t>
      </w:r>
      <w:proofErr w:type="spellStart"/>
      <w:r>
        <w:t>IMeasureU</w:t>
      </w:r>
      <w:proofErr w:type="spellEnd"/>
      <w:r>
        <w:t xml:space="preserve">, Auckland, New Zealand) was used to record inertial measurement data from the IMU at 100 Hz via Bluetooth to an iPad (Apple, California, United States). The </w:t>
      </w:r>
      <w:proofErr w:type="spellStart"/>
      <w:r>
        <w:t>IMeasureU</w:t>
      </w:r>
      <w:proofErr w:type="spellEnd"/>
      <w:r>
        <w:t xml:space="preserve"> 9-axis sensor contained an accelerometer (±16 g), gyroscope (±2000º·s</w:t>
      </w:r>
      <w:r>
        <w:rPr>
          <w:sz w:val="13"/>
          <w:szCs w:val="13"/>
          <w:vertAlign w:val="superscript"/>
        </w:rPr>
        <w:t>-1</w:t>
      </w:r>
      <w:r>
        <w:t xml:space="preserve">), and magnetometer microelectromechanical system technology (MEMS, ±1200 µT) mounted in a tri-axial arrangement on a small circuit board. The sensor logged acceleration, angular velocities, and magnetic flux data in the three orthogonal planes. Raw data from the IMU was imported into MATLAB (R2020a, The MathWorks Inc., Natick, MA, USA), where it was passed through the </w:t>
      </w:r>
      <w:proofErr w:type="spellStart"/>
      <w:r>
        <w:t>Madgwick</w:t>
      </w:r>
      <w:proofErr w:type="spellEnd"/>
      <w:r>
        <w:t xml:space="preserve"> filter </w:t>
      </w:r>
      <w:r w:rsidR="00E82370">
        <w:fldChar w:fldCharType="begin" w:fldLock="1"/>
      </w:r>
      <w:r w:rsidR="00E82370">
        <w:instrText>ADDIN CSL_CITATION {"citationItems":[{"id":"ITEM-1","itemData":{"DOI":"10.1109/ICORR.2011.5975346","ISBN":"9781424498628","ISSN":"19457898","PMID":"22275550","abstract":"This paper presents a novel orientation algorithm designed to support a computationally efficient, wearable inertial human motion tracking system for rehabilitation applications. It is applicable to inertial measurement units (IMUs) consisting of tri-axis gyroscopes and accelerometers, and magnetic angular rate and gravity (MARG) sensor arrays that also include tri-axis magnetometers. The MARG implementation incorporates magnetic distortion compensation. The algorithm uses a quaternion representation, allowing accelerometer and magnetometer data to be used in an analytically derived and optimised gradient descent algorithm to compute the direction of the gyroscope measurement error as a quaternion derivative. Performance has been evaluated empirically using a commercially available orientation sensor and reference measurements of orientation obtained using an optical measurement system. Performance was also benchmarked against the propriety Kalman-based algorithm of orientation sensor. Results indicate the algorithm achieves levels of accuracy matching that of the Kalman based algorithm; &lt; 0.8° static RMS error, &lt; 1.7° dynamic RMS error. The implications of the low computational load and ability to operate at small sampling rates significantly reduces the hardware and power necessary for wearable inertial movement tracking, enabling the creation of lightweight, inexpensive systems capable of functioning for extended periods of time. © 2011 IEEE.","author":[{"dropping-particle":"","family":"Madgwick","given":"Sebastian O.H.","non-dropping-particle":"","parse-names":false,"suffix":""},{"dropping-particle":"","family":"Harrison","given":"Andrew J.L.","non-dropping-particle":"","parse-names":false,"suffix":""},{"dropping-particle":"","family":"Vaidyanathan","given":"Ravi","non-dropping-particle":"","parse-names":false,"suffix":""}],"container-title":"IEEE International Conference on Rehabilitation Robotics","id":"ITEM-1","issued":{"date-parts":[["2011"]]},"page":"1-7","publisher":"IEEE","title":"Estimation of IMU and MARG orientation using a gradient descent algorithm","type":"article-journal"},"uris":["http://www.mendeley.com/documents/?uuid=a530689e-2afc-4adb-b168-5b1801686d56"]}],"mendeley":{"formattedCitation":"(Madgwick, Harrison, &amp; Vaidyanathan, 2011)","plainTextFormattedCitation":"(Madgwick, Harrison, &amp; Vaidyanathan, 2011)","previouslyFormattedCitation":"(Madgwick, Harrison, &amp; Vaidyanathan, 2011)"},"properties":{"noteIndex":0},"schema":"https://github.com/citation-style-language/schema/raw/master/csl-citation.json"}</w:instrText>
      </w:r>
      <w:r w:rsidR="00E82370">
        <w:fldChar w:fldCharType="separate"/>
      </w:r>
      <w:r w:rsidR="00E82370" w:rsidRPr="00E82370">
        <w:rPr>
          <w:noProof/>
        </w:rPr>
        <w:t>(Madgwick, Harrison, &amp; Vaidyanathan, 2011)</w:t>
      </w:r>
      <w:r w:rsidR="00E82370">
        <w:fldChar w:fldCharType="end"/>
      </w:r>
      <w:r w:rsidR="00E82370">
        <w:t xml:space="preserve"> </w:t>
      </w:r>
      <w:r>
        <w:t xml:space="preserve">to calculate the global orientation of the sensors. A static trial was collected to provide an initial estimate of the heading direction of the sensor. This estimate was then used to adjust for any drift in the orientation produced from the filtering process. Rotation matrices were then applied to the raw data in order to calculate linear accelerations in a global reference frame. Linear accelerations were then integrated to velocity and then to displacement in each axis. The beginning of each sprint trial was identified within the IMU data by creating an artificial spike in the resultant acceleration </w:t>
      </w:r>
      <w:r>
        <w:lastRenderedPageBreak/>
        <w:t xml:space="preserve">by lightly tapping the sensor with a pen at the same time as giving a “Go!” command to the rider. </w:t>
      </w:r>
      <w:proofErr w:type="spellStart"/>
      <w:r>
        <w:t>CoM</w:t>
      </w:r>
      <w:proofErr w:type="spellEnd"/>
      <w:r>
        <w:t xml:space="preserve"> power was calculated as the change in total mechanical energy of the rider’s </w:t>
      </w:r>
      <w:proofErr w:type="spellStart"/>
      <w:r>
        <w:t>CoM</w:t>
      </w:r>
      <w:proofErr w:type="spellEnd"/>
      <w:r>
        <w:t xml:space="preserve"> (potential + kinetic) divided by the change in time. Kinetic energy of motion (a scalar quantity) was accounted for in all axes by using the square of the resultant velocity of the </w:t>
      </w:r>
      <w:proofErr w:type="spellStart"/>
      <w:r>
        <w:t>CoM</w:t>
      </w:r>
      <w:proofErr w:type="spellEnd"/>
      <w:r>
        <w:t xml:space="preserve"> in x, y, and z axes multiplied by half mass. Kinetic energy due to angular motion of the </w:t>
      </w:r>
      <w:proofErr w:type="spellStart"/>
      <w:r>
        <w:t>CoM</w:t>
      </w:r>
      <w:proofErr w:type="spellEnd"/>
      <w:r>
        <w:t xml:space="preserve"> was deemed negligible. </w:t>
      </w:r>
    </w:p>
    <w:p w14:paraId="420C27F1" w14:textId="77777777" w:rsidR="00B77246" w:rsidRDefault="00B77246" w:rsidP="00B77246">
      <w:pPr>
        <w:pStyle w:val="Heading2"/>
        <w:spacing w:before="240" w:after="120"/>
        <w:rPr>
          <w:color w:val="000000"/>
        </w:rPr>
      </w:pPr>
      <w:r>
        <w:rPr>
          <w:rFonts w:ascii="Arial" w:hAnsi="Arial" w:cs="Arial"/>
          <w:b w:val="0"/>
          <w:bCs/>
          <w:color w:val="000000"/>
          <w:sz w:val="32"/>
          <w:szCs w:val="32"/>
        </w:rPr>
        <w:t>Statistical analysis</w:t>
      </w:r>
    </w:p>
    <w:p w14:paraId="1EE53CE0" w14:textId="353F53CF" w:rsidR="00B77246" w:rsidRPr="00B77246" w:rsidRDefault="00B77246" w:rsidP="00B77246">
      <w:pPr>
        <w:pStyle w:val="NormalWeb"/>
        <w:spacing w:before="0" w:beforeAutospacing="0" w:after="0" w:afterAutospacing="0" w:line="480" w:lineRule="auto"/>
        <w:jc w:val="both"/>
        <w:rPr>
          <w:color w:val="000000"/>
        </w:rPr>
      </w:pPr>
      <w:r>
        <w:rPr>
          <w:rFonts w:ascii="Arial" w:hAnsi="Arial" w:cs="Arial"/>
          <w:color w:val="000000"/>
          <w:sz w:val="22"/>
          <w:szCs w:val="22"/>
        </w:rPr>
        <w:t>The effect of bicycle lean on maximal power output and vertical center of mass displacement was analyzed using a one-way repeated-measures analysis of variance (ANOVA) within MATLAB (R2020a, The MathWorks, Inc., Natick, MA, USA). We performed a conventional power analysis (alpha = 0.05, power = 90%) to determine that a sample size of 23 was required to detect both the expected true effect size of 0.8 and the smallest effect size of interest of 0.44</w:t>
      </w:r>
      <w:r w:rsidR="00E82370">
        <w:rPr>
          <w:rFonts w:ascii="Arial" w:hAnsi="Arial" w:cs="Arial"/>
          <w:color w:val="000000"/>
          <w:sz w:val="22"/>
          <w:szCs w:val="22"/>
        </w:rPr>
        <w:t xml:space="preserve"> </w:t>
      </w:r>
      <w:r w:rsidR="00E82370">
        <w:rPr>
          <w:rFonts w:ascii="Arial" w:hAnsi="Arial" w:cs="Arial"/>
          <w:color w:val="000000"/>
          <w:sz w:val="22"/>
          <w:szCs w:val="22"/>
        </w:rPr>
        <w:fldChar w:fldCharType="begin" w:fldLock="1"/>
      </w:r>
      <w:r w:rsidR="00E82370">
        <w:rPr>
          <w:rFonts w:ascii="Arial" w:hAnsi="Arial" w:cs="Arial"/>
          <w:color w:val="000000"/>
          <w:sz w:val="22"/>
          <w:szCs w:val="22"/>
        </w:rPr>
        <w:instrText>ADDIN CSL_CITATION {"citationItems":[{"id":"ITEM-1","itemData":{"author":[{"dropping-particle":"","family":"Faul","given":"Franz","non-dropping-particle":"","parse-names":false,"suffix":""},{"dropping-particle":"","family":"Erdfelder","given":"Edgar","non-dropping-particle":"","parse-names":false,"suffix":""},{"dropping-particle":"","family":"Lang","given":"Albert-Georg","non-dropping-particle":"","parse-names":false,"suffix":""},{"dropping-particle":"","family":"Buchner","given":"Axel","non-dropping-particle":"","parse-names":false,"suffix":""}],"container-title":"Behaviour Research Methods","id":"ITEM-1","issue":"2","issued":{"date-parts":[["2007"]]},"page":"175-191","title":"G*Power 3: A flexible statistical power analysis program for the social, behavioral, and biomedical sciences","type":"article-journal","volume":"39"},"uris":["http://www.mendeley.com/documents/?uuid=c8b6eefd-57fe-465d-bf43-26337cd6cc5e"]},{"id":"ITEM-2","itemData":{"DOI":"10.3389/fpsyg.2013.00863","ISBN":"1664-1078 (Print)","ISSN":"16641078","PMID":"24324449","abstract":"Effect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workflow.","author":[{"dropping-particle":"","family":"Lakens","given":"Daniël","non-dropping-particle":"","parse-names":false,"suffix":""}],"container-title":"Frontiers in Psychology","id":"ITEM-2","issue":"NOV","issued":{"date-parts":[["2013"]]},"title":"Calculating and reporting effect sizes to facilitate cumulative science: A practical primer for t-tests and ANOVAs","type":"article-journal","volume":"4"},"uris":["http://www.mendeley.com/documents/?uuid=d4901c72-0a31-33df-8fcc-054bdd63e5b6"]}],"mendeley":{"formattedCitation":"(Faul, Erdfelder, Lang, &amp; Buchner, 2007; Lakens, 2013)","plainTextFormattedCitation":"(Faul, Erdfelder, Lang, &amp; Buchner, 2007; Lakens, 2013)"},"properties":{"noteIndex":0},"schema":"https://github.com/citation-style-language/schema/raw/master/csl-citation.json"}</w:instrText>
      </w:r>
      <w:r w:rsidR="00E82370">
        <w:rPr>
          <w:rFonts w:ascii="Arial" w:hAnsi="Arial" w:cs="Arial"/>
          <w:color w:val="000000"/>
          <w:sz w:val="22"/>
          <w:szCs w:val="22"/>
        </w:rPr>
        <w:fldChar w:fldCharType="separate"/>
      </w:r>
      <w:r w:rsidR="00E82370" w:rsidRPr="00E82370">
        <w:rPr>
          <w:rFonts w:ascii="Arial" w:hAnsi="Arial" w:cs="Arial"/>
          <w:noProof/>
          <w:color w:val="000000"/>
          <w:sz w:val="22"/>
          <w:szCs w:val="22"/>
        </w:rPr>
        <w:t>(Faul, Erdfelder, Lang, &amp; Buchner, 2007; Lakens, 2013)</w:t>
      </w:r>
      <w:r w:rsidR="00E82370">
        <w:rPr>
          <w:rFonts w:ascii="Arial" w:hAnsi="Arial" w:cs="Arial"/>
          <w:color w:val="000000"/>
          <w:sz w:val="22"/>
          <w:szCs w:val="22"/>
        </w:rPr>
        <w:fldChar w:fldCharType="end"/>
      </w:r>
      <w:r>
        <w:rPr>
          <w:rFonts w:ascii="Arial" w:hAnsi="Arial" w:cs="Arial"/>
          <w:color w:val="000000"/>
          <w:sz w:val="22"/>
          <w:szCs w:val="22"/>
        </w:rPr>
        <w:t>. Sphericity of the data was checked using Mauchly’s test and p-values were corrected using the Greenhouse-</w:t>
      </w:r>
      <w:proofErr w:type="spellStart"/>
      <w:r>
        <w:rPr>
          <w:rFonts w:ascii="Arial" w:hAnsi="Arial" w:cs="Arial"/>
          <w:color w:val="000000"/>
          <w:sz w:val="22"/>
          <w:szCs w:val="22"/>
        </w:rPr>
        <w:t>Geisser</w:t>
      </w:r>
      <w:proofErr w:type="spellEnd"/>
      <w:r>
        <w:rPr>
          <w:rFonts w:ascii="Arial" w:hAnsi="Arial" w:cs="Arial"/>
          <w:color w:val="000000"/>
          <w:sz w:val="22"/>
          <w:szCs w:val="22"/>
        </w:rPr>
        <w:t xml:space="preserve"> method when necessary. P-values for multiple comparisons were corrected using the Dunn-</w:t>
      </w:r>
      <w:proofErr w:type="spellStart"/>
      <w:r>
        <w:rPr>
          <w:rFonts w:ascii="Arial" w:hAnsi="Arial" w:cs="Arial"/>
          <w:color w:val="000000"/>
          <w:sz w:val="22"/>
          <w:szCs w:val="22"/>
        </w:rPr>
        <w:t>Sidak</w:t>
      </w:r>
      <w:proofErr w:type="spellEnd"/>
      <w:r>
        <w:rPr>
          <w:rFonts w:ascii="Arial" w:hAnsi="Arial" w:cs="Arial"/>
          <w:color w:val="000000"/>
          <w:sz w:val="22"/>
          <w:szCs w:val="22"/>
        </w:rPr>
        <w:t xml:space="preserve"> method. The F-statistic (</w:t>
      </w:r>
      <w:r>
        <w:rPr>
          <w:rFonts w:ascii="Cambria Math" w:hAnsi="Cambria Math" w:cs="Cambria Math"/>
          <w:color w:val="000000"/>
          <w:sz w:val="22"/>
          <w:szCs w:val="22"/>
        </w:rPr>
        <w:t>𝐹</w:t>
      </w:r>
      <w:r>
        <w:rPr>
          <w:rFonts w:ascii="Arial" w:hAnsi="Arial" w:cs="Arial"/>
          <w:color w:val="000000"/>
          <w:sz w:val="22"/>
          <w:szCs w:val="22"/>
        </w:rPr>
        <w:t>), p-value (</w:t>
      </w:r>
      <w:r>
        <w:rPr>
          <w:rFonts w:ascii="Cambria Math" w:hAnsi="Cambria Math" w:cs="Cambria Math"/>
          <w:color w:val="000000"/>
        </w:rPr>
        <w:t>𝝆</w:t>
      </w:r>
      <w:r>
        <w:rPr>
          <w:rFonts w:ascii="Arial" w:hAnsi="Arial" w:cs="Arial"/>
          <w:color w:val="000000"/>
          <w:sz w:val="22"/>
          <w:szCs w:val="22"/>
        </w:rPr>
        <w:t>), and generalized eta squared (</w:t>
      </w:r>
      <w:r>
        <w:rPr>
          <w:rFonts w:ascii="Arial" w:hAnsi="Arial" w:cs="Arial"/>
          <w:color w:val="000000"/>
        </w:rPr>
        <w:t>G2</w:t>
      </w:r>
      <w:r>
        <w:rPr>
          <w:rFonts w:ascii="Arial" w:hAnsi="Arial" w:cs="Arial"/>
          <w:color w:val="000000"/>
          <w:sz w:val="22"/>
          <w:szCs w:val="22"/>
        </w:rPr>
        <w:t>) have been provided for main effects. For multiple comparisons the t-statistic (</w:t>
      </w:r>
      <w:r>
        <w:rPr>
          <w:rFonts w:ascii="Cambria Math" w:hAnsi="Cambria Math" w:cs="Cambria Math"/>
          <w:color w:val="000000"/>
          <w:sz w:val="22"/>
          <w:szCs w:val="22"/>
        </w:rPr>
        <w:t>𝑡</w:t>
      </w:r>
      <w:r>
        <w:rPr>
          <w:rFonts w:ascii="Arial" w:hAnsi="Arial" w:cs="Arial"/>
          <w:color w:val="000000"/>
          <w:sz w:val="22"/>
          <w:szCs w:val="22"/>
        </w:rPr>
        <w:t>), corrected p-value (</w:t>
      </w:r>
      <w:r>
        <w:rPr>
          <w:rFonts w:ascii="Cambria Math" w:hAnsi="Cambria Math" w:cs="Cambria Math"/>
          <w:color w:val="000000"/>
        </w:rPr>
        <w:t>𝝆</w:t>
      </w:r>
      <w:r>
        <w:rPr>
          <w:rFonts w:ascii="Arial" w:hAnsi="Arial" w:cs="Arial"/>
          <w:color w:val="000000"/>
          <w:sz w:val="22"/>
          <w:szCs w:val="22"/>
        </w:rPr>
        <w:t xml:space="preserve">), 95% confidence intervals (95%CI [Low to High]), and corrected effect size (Hedge's </w:t>
      </w:r>
      <w:proofErr w:type="spellStart"/>
      <w:r>
        <w:rPr>
          <w:rFonts w:ascii="Arial" w:hAnsi="Arial" w:cs="Arial"/>
          <w:color w:val="000000"/>
          <w:sz w:val="22"/>
          <w:szCs w:val="22"/>
        </w:rPr>
        <w:t>gav</w:t>
      </w:r>
      <w:proofErr w:type="spellEnd"/>
      <w:r>
        <w:rPr>
          <w:rFonts w:ascii="Arial" w:hAnsi="Arial" w:cs="Arial"/>
          <w:color w:val="000000"/>
          <w:sz w:val="22"/>
          <w:szCs w:val="22"/>
        </w:rPr>
        <w:t>) are provided. Descriptive data are presented as mean ± standard deviation.</w:t>
      </w:r>
    </w:p>
    <w:p w14:paraId="3A8C6208" w14:textId="77777777" w:rsidR="004F0029" w:rsidRDefault="004F0029" w:rsidP="004F33BB">
      <w:pPr>
        <w:pStyle w:val="Heading2"/>
        <w:rPr>
          <w:lang w:val="en-US"/>
        </w:rPr>
      </w:pPr>
      <w:r>
        <w:rPr>
          <w:lang w:val="en-US"/>
        </w:rPr>
        <w:t>Rider-ergometer system</w:t>
      </w:r>
    </w:p>
    <w:p w14:paraId="3699942A" w14:textId="77777777" w:rsidR="004F0029" w:rsidRDefault="004F0029" w:rsidP="004F0029">
      <w:pPr>
        <w:pStyle w:val="BodyText"/>
        <w:rPr>
          <w:lang w:val="en-US"/>
        </w:rPr>
      </w:pPr>
      <w:r>
        <w:rPr>
          <w:lang w:val="en-US"/>
        </w:rPr>
        <w:t>We want the springs to exert a torque that is proportional to the lean angle itself:</w:t>
      </w:r>
    </w:p>
    <w:p w14:paraId="3CD5DF22" w14:textId="77777777" w:rsidR="004F0029" w:rsidRPr="00E356A1" w:rsidRDefault="00AF1F36" w:rsidP="004F0029">
      <w:pPr>
        <w:pStyle w:val="BodyText"/>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springs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⋅θ</m:t>
          </m:r>
        </m:oMath>
      </m:oMathPara>
    </w:p>
    <w:p w14:paraId="73DDE6F4" w14:textId="77777777" w:rsidR="004F0029" w:rsidRDefault="004F0029" w:rsidP="004F0029">
      <w:pPr>
        <w:pStyle w:val="BodyText"/>
        <w:rPr>
          <w:lang w:val="en-US"/>
        </w:rPr>
      </w:pPr>
      <w:proofErr w:type="spellStart"/>
      <w:r>
        <w:rPr>
          <w:lang w:val="en-US"/>
        </w:rPr>
        <w:lastRenderedPageBreak/>
        <w:t>K</w:t>
      </w:r>
      <w:r>
        <w:rPr>
          <w:vertAlign w:val="subscript"/>
          <w:lang w:val="en-US"/>
        </w:rPr>
        <w:t>p</w:t>
      </w:r>
      <w:proofErr w:type="spellEnd"/>
      <w:r>
        <w:rPr>
          <w:lang w:val="en-US"/>
        </w:rPr>
        <w:t xml:space="preserve"> is a constant whose optimal value may be determined via simulation and experimentation. </w:t>
      </w:r>
    </w:p>
    <w:p w14:paraId="22F2030C" w14:textId="77777777" w:rsidR="004F0029" w:rsidRPr="000500B9" w:rsidRDefault="00AF1F36" w:rsidP="004F0029">
      <w:pPr>
        <w:pStyle w:val="BodyText"/>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 xml:space="preserve">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m:t>
                  </m:r>
                </m:sub>
              </m:sSub>
              <m:r>
                <w:rPr>
                  <w:rFonts w:ascii="Cambria Math" w:hAnsi="Cambria Math"/>
                  <w:lang w:val="en-US"/>
                </w:rPr>
                <m:t>⋅</m:t>
              </m:r>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cm</m:t>
                  </m:r>
                </m:sub>
              </m:sSub>
              <m:ctrlPr>
                <w:rPr>
                  <w:rFonts w:ascii="Cambria Math" w:eastAsiaTheme="minorEastAsia" w:hAnsi="Cambria Math"/>
                  <w:i/>
                  <w:lang w:val="en-US"/>
                </w:rPr>
              </m:ctrlPr>
            </m:e>
          </m:d>
          <m:r>
            <w:rPr>
              <w:rFonts w:ascii="Cambria Math" w:eastAsiaTheme="minorEastAsia" w:hAnsi="Cambria Math"/>
              <w:lang w:val="en-US"/>
            </w:rPr>
            <m:t>θ</m:t>
          </m:r>
        </m:oMath>
      </m:oMathPara>
    </w:p>
    <w:p w14:paraId="396BA61F" w14:textId="77777777" w:rsidR="004F0029" w:rsidRPr="000500B9" w:rsidRDefault="004F0029" w:rsidP="004F0029">
      <w:pPr>
        <w:pStyle w:val="BodyText"/>
        <w:rPr>
          <w:rFonts w:eastAsiaTheme="minorEastAsia"/>
          <w:lang w:val="en-US"/>
        </w:rPr>
      </w:pPr>
      <w:r>
        <w:rPr>
          <w:lang w:val="en-US"/>
        </w:rPr>
        <w:t xml:space="preserve">If </w:t>
      </w:r>
      <w:proofErr w:type="spellStart"/>
      <w:r>
        <w:rPr>
          <w:lang w:val="en-US"/>
        </w:rPr>
        <w:t>K</w:t>
      </w:r>
      <w:r>
        <w:rPr>
          <w:vertAlign w:val="subscript"/>
          <w:lang w:val="en-US"/>
        </w:rPr>
        <w:t>p</w:t>
      </w:r>
      <w:proofErr w:type="spellEnd"/>
      <w:r>
        <w:rPr>
          <w:vertAlign w:val="subscript"/>
          <w:lang w:val="en-US"/>
        </w:rPr>
        <w:t xml:space="preserve"> </w:t>
      </w:r>
      <w:r>
        <w:rPr>
          <w:lang w:val="en-US"/>
        </w:rPr>
        <w:t xml:space="preserve">is greater than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m:t>
            </m:r>
          </m:sub>
        </m:sSub>
        <m:r>
          <w:rPr>
            <w:rFonts w:ascii="Cambria Math" w:hAnsi="Cambria Math"/>
            <w:lang w:val="en-US"/>
          </w:rPr>
          <m:t>⋅g⋅</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m:t>
            </m:r>
          </m:sub>
        </m:sSub>
      </m:oMath>
      <w:r>
        <w:rPr>
          <w:rFonts w:eastAsiaTheme="minorEastAsia"/>
          <w:lang w:val="en-US"/>
        </w:rPr>
        <w:t>, then the angular acceleration of the system about the wheel-ground axis is in the opposite direction of the lean angle. Specifically, w</w:t>
      </w:r>
      <w:r>
        <w:rPr>
          <w:lang w:val="en-US"/>
        </w:rPr>
        <w:t>hen the ergometer leans one way, it will accelerate in the opposite direction. When the ergometer moves to the other side of the equilibrium point, the angular acceleration will then switch directions to move the ergometer back toward equilibrium. This is a “stable equilibrium”, which means when the system is perturbed from the equilibrium position, it will restore itself back toward equilibrium.</w:t>
      </w:r>
    </w:p>
    <w:p w14:paraId="71D0C707" w14:textId="77777777" w:rsidR="004F0029" w:rsidRDefault="004F0029" w:rsidP="004F0029">
      <w:pPr>
        <w:pStyle w:val="BodyText"/>
        <w:rPr>
          <w:lang w:val="en-US"/>
        </w:rPr>
      </w:pPr>
      <w:r>
        <w:rPr>
          <w:lang w:val="en-US"/>
        </w:rPr>
        <w:t>Solving the differential equation, we have a solution in the form:</w:t>
      </w:r>
    </w:p>
    <w:p w14:paraId="71705A97" w14:textId="77777777" w:rsidR="004F0029" w:rsidRPr="00E356A1" w:rsidRDefault="004F0029" w:rsidP="004F0029">
      <w:pPr>
        <w:pStyle w:val="BodyText"/>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r>
            <w:rPr>
              <w:rFonts w:ascii="Cambria Math" w:hAnsi="Cambria Math"/>
              <w:lang w:val="en-US"/>
            </w:rPr>
            <m:t>=Asin(</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e>
          </m:ra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m:t>
                  </m:r>
                </m:sub>
              </m:sSub>
              <m:r>
                <w:rPr>
                  <w:rFonts w:ascii="Cambria Math" w:hAnsi="Cambria Math"/>
                  <w:lang w:val="en-US"/>
                </w:rPr>
                <m:t>⋅g⋅</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m:t>
                  </m:r>
                </m:sub>
              </m:sSub>
            </m:den>
          </m:f>
          <m:r>
            <w:rPr>
              <w:rFonts w:ascii="Cambria Math" w:hAnsi="Cambria Math"/>
              <w:lang w:val="en-US"/>
            </w:rPr>
            <m:t xml:space="preserve">t+B) </m:t>
          </m:r>
        </m:oMath>
      </m:oMathPara>
    </w:p>
    <w:p w14:paraId="7E504737" w14:textId="77777777" w:rsidR="004F0029" w:rsidRPr="00E356A1" w:rsidRDefault="004F0029" w:rsidP="004F0029">
      <w:pPr>
        <w:pStyle w:val="BodyText"/>
        <w:rPr>
          <w:rFonts w:eastAsiaTheme="minorEastAsia"/>
          <w:lang w:val="en-US"/>
        </w:rPr>
      </w:pPr>
      <w:r>
        <w:rPr>
          <w:rFonts w:eastAsiaTheme="minorEastAsia"/>
          <w:lang w:val="en-US"/>
        </w:rPr>
        <w:t xml:space="preserve">The above </w:t>
      </w:r>
    </w:p>
    <w:p w14:paraId="7596F044" w14:textId="77777777" w:rsidR="004F0029" w:rsidRPr="004F0029" w:rsidRDefault="004F0029" w:rsidP="004F0029">
      <w:pPr>
        <w:pStyle w:val="BodyText"/>
        <w:rPr>
          <w:lang w:val="en-US"/>
        </w:rPr>
      </w:pPr>
    </w:p>
    <w:p w14:paraId="03327BE4" w14:textId="77777777" w:rsidR="00CC0315" w:rsidRDefault="00CC0315" w:rsidP="00B10B0C">
      <w:pPr>
        <w:pStyle w:val="Heading1"/>
        <w:rPr>
          <w:lang w:val="en-US"/>
        </w:rPr>
        <w:sectPr w:rsidR="00CC0315" w:rsidSect="002A3AA4">
          <w:pgSz w:w="12240" w:h="15840"/>
          <w:pgMar w:top="1440" w:right="1440" w:bottom="1440" w:left="1440" w:header="720" w:footer="720" w:gutter="0"/>
          <w:cols w:space="720"/>
          <w:docGrid w:linePitch="360"/>
        </w:sectPr>
      </w:pPr>
    </w:p>
    <w:p w14:paraId="65689F94" w14:textId="171B08EF" w:rsidR="001A276A" w:rsidRDefault="00B10B0C" w:rsidP="00B10B0C">
      <w:pPr>
        <w:pStyle w:val="Heading1"/>
        <w:rPr>
          <w:lang w:val="en-US"/>
        </w:rPr>
      </w:pPr>
      <w:r>
        <w:rPr>
          <w:lang w:val="en-US"/>
        </w:rPr>
        <w:lastRenderedPageBreak/>
        <w:t>Results</w:t>
      </w:r>
    </w:p>
    <w:p w14:paraId="03FC9BB4" w14:textId="1F3811B3" w:rsidR="00B10B0C" w:rsidRDefault="00B10B0C" w:rsidP="009E4106">
      <w:pPr>
        <w:pStyle w:val="Heading2"/>
        <w:rPr>
          <w:lang w:val="en-US"/>
        </w:rPr>
      </w:pPr>
      <w:r>
        <w:rPr>
          <w:lang w:val="en-US"/>
        </w:rPr>
        <w:t>Pmax Test</w:t>
      </w:r>
    </w:p>
    <w:p w14:paraId="3E5E8410" w14:textId="6E1C86DE" w:rsidR="00B10B0C" w:rsidRDefault="00B10B0C" w:rsidP="00B10B0C">
      <w:pPr>
        <w:pStyle w:val="Heading2"/>
        <w:rPr>
          <w:lang w:val="en-US"/>
        </w:rPr>
      </w:pPr>
      <w:r>
        <w:rPr>
          <w:lang w:val="en-US"/>
        </w:rPr>
        <w:t>Maximum 1-s Power Output</w:t>
      </w:r>
    </w:p>
    <w:p w14:paraId="6C467B46" w14:textId="34131D64" w:rsidR="00B10B0C" w:rsidRDefault="00B10B0C" w:rsidP="00B10B0C">
      <w:pPr>
        <w:pStyle w:val="Heading2"/>
        <w:rPr>
          <w:lang w:val="en-US"/>
        </w:rPr>
      </w:pPr>
      <w:r>
        <w:rPr>
          <w:lang w:val="en-US"/>
        </w:rPr>
        <w:t>Maximum 1-s Cadence</w:t>
      </w:r>
    </w:p>
    <w:p w14:paraId="2EF5046A" w14:textId="77777777" w:rsidR="006D5279" w:rsidRDefault="006D5279" w:rsidP="00B10B0C">
      <w:pPr>
        <w:pStyle w:val="BodyText"/>
        <w:rPr>
          <w:lang w:val="en-US"/>
        </w:rPr>
      </w:pPr>
    </w:p>
    <w:p w14:paraId="7A097797" w14:textId="77777777" w:rsidR="00CC0315" w:rsidRDefault="00CC0315" w:rsidP="004F0029">
      <w:pPr>
        <w:pStyle w:val="Heading1"/>
        <w:rPr>
          <w:lang w:val="en-US"/>
        </w:rPr>
        <w:sectPr w:rsidR="00CC0315" w:rsidSect="002A3AA4">
          <w:pgSz w:w="12240" w:h="15840"/>
          <w:pgMar w:top="1440" w:right="1440" w:bottom="1440" w:left="1440" w:header="720" w:footer="720" w:gutter="0"/>
          <w:cols w:space="720"/>
          <w:docGrid w:linePitch="360"/>
        </w:sectPr>
      </w:pPr>
    </w:p>
    <w:p w14:paraId="50C216BA" w14:textId="42C77CBF" w:rsidR="006D5279" w:rsidRDefault="004F0029" w:rsidP="004F0029">
      <w:pPr>
        <w:pStyle w:val="Heading1"/>
        <w:rPr>
          <w:lang w:val="en-US"/>
        </w:rPr>
      </w:pPr>
      <w:r>
        <w:rPr>
          <w:lang w:val="en-US"/>
        </w:rPr>
        <w:lastRenderedPageBreak/>
        <w:t>Discussion</w:t>
      </w:r>
    </w:p>
    <w:p w14:paraId="354FBDD4" w14:textId="77777777" w:rsidR="00DE13AA" w:rsidRDefault="00DE13AA" w:rsidP="00DE13AA">
      <w:pPr>
        <w:pStyle w:val="Heading1"/>
        <w:rPr>
          <w:lang w:val="en-US"/>
        </w:rPr>
        <w:sectPr w:rsidR="00DE13AA" w:rsidSect="002A3AA4">
          <w:pgSz w:w="12240" w:h="15840"/>
          <w:pgMar w:top="1440" w:right="1440" w:bottom="1440" w:left="1440" w:header="720" w:footer="720" w:gutter="0"/>
          <w:cols w:space="720"/>
          <w:docGrid w:linePitch="360"/>
        </w:sectPr>
      </w:pPr>
    </w:p>
    <w:p w14:paraId="255499D9" w14:textId="5FCC2261" w:rsidR="004F0029" w:rsidRDefault="00DE13AA" w:rsidP="00DE13AA">
      <w:pPr>
        <w:pStyle w:val="Heading1"/>
        <w:rPr>
          <w:lang w:val="en-US"/>
        </w:rPr>
      </w:pPr>
      <w:r>
        <w:rPr>
          <w:lang w:val="en-US"/>
        </w:rPr>
        <w:lastRenderedPageBreak/>
        <w:t>Conflict of interest statement</w:t>
      </w:r>
    </w:p>
    <w:p w14:paraId="44788D28" w14:textId="01709D48" w:rsidR="00DE13AA" w:rsidRPr="00DE13AA" w:rsidRDefault="00DE13AA" w:rsidP="00DE13AA">
      <w:pPr>
        <w:rPr>
          <w:rFonts w:ascii="Times New Roman" w:hAnsi="Times New Roman" w:cs="Times New Roman"/>
          <w:lang w:val="en-US"/>
        </w:rPr>
      </w:pPr>
      <w:r w:rsidRPr="00DE13AA">
        <w:rPr>
          <w:lang w:val="en-US"/>
        </w:rPr>
        <w:t>At the time of this study RDW and RK were paid consultants to Specialized Bicycle Components, Inc.</w:t>
      </w:r>
    </w:p>
    <w:p w14:paraId="436FA3C4" w14:textId="5ED655BA" w:rsidR="00DE13AA" w:rsidRDefault="00DE13AA" w:rsidP="00DE13AA">
      <w:pPr>
        <w:pStyle w:val="Heading1"/>
        <w:rPr>
          <w:lang w:val="en-US"/>
        </w:rPr>
      </w:pPr>
      <w:r>
        <w:rPr>
          <w:lang w:val="en-US"/>
        </w:rPr>
        <w:t>Acknowledgements</w:t>
      </w:r>
    </w:p>
    <w:p w14:paraId="5FA39876" w14:textId="0FA4F442" w:rsidR="00DE13AA" w:rsidRDefault="00DE13AA" w:rsidP="00DE13AA">
      <w:pPr>
        <w:rPr>
          <w:lang w:val="en-US"/>
        </w:rPr>
      </w:pPr>
      <w:r w:rsidRPr="00DE13AA">
        <w:rPr>
          <w:lang w:val="en-US"/>
        </w:rPr>
        <w:t>This research was supported by</w:t>
      </w:r>
      <w:r>
        <w:rPr>
          <w:lang w:val="en-US"/>
        </w:rPr>
        <w:t xml:space="preserve"> a </w:t>
      </w:r>
      <w:r w:rsidRPr="00DE13AA">
        <w:rPr>
          <w:lang w:val="en-US"/>
        </w:rPr>
        <w:t>Student International Travel Grant awarded to RDW</w:t>
      </w:r>
      <w:r>
        <w:rPr>
          <w:lang w:val="en-US"/>
        </w:rPr>
        <w:t xml:space="preserve"> by the International Society of Biomechanics.</w:t>
      </w:r>
    </w:p>
    <w:p w14:paraId="545329AF" w14:textId="77777777" w:rsidR="00CC0315" w:rsidRDefault="00CC0315" w:rsidP="004F0029">
      <w:pPr>
        <w:pStyle w:val="Heading1"/>
        <w:rPr>
          <w:lang w:val="en-US"/>
        </w:rPr>
        <w:sectPr w:rsidR="00CC0315" w:rsidSect="002A3AA4">
          <w:pgSz w:w="12240" w:h="15840"/>
          <w:pgMar w:top="1440" w:right="1440" w:bottom="1440" w:left="1440" w:header="720" w:footer="720" w:gutter="0"/>
          <w:cols w:space="720"/>
          <w:docGrid w:linePitch="360"/>
        </w:sectPr>
      </w:pPr>
    </w:p>
    <w:p w14:paraId="1E3D18AF" w14:textId="583DC248" w:rsidR="004F0029" w:rsidRDefault="004F0029" w:rsidP="004F0029">
      <w:pPr>
        <w:pStyle w:val="Heading1"/>
        <w:rPr>
          <w:lang w:val="en-US"/>
        </w:rPr>
      </w:pPr>
      <w:r>
        <w:rPr>
          <w:lang w:val="en-US"/>
        </w:rPr>
        <w:lastRenderedPageBreak/>
        <w:t>References</w:t>
      </w:r>
    </w:p>
    <w:p w14:paraId="2199449A" w14:textId="0FE990DB" w:rsidR="004F0029" w:rsidRDefault="004F0029" w:rsidP="004F0029">
      <w:pPr>
        <w:pStyle w:val="BodyText"/>
        <w:rPr>
          <w:lang w:val="en-US"/>
        </w:rPr>
      </w:pPr>
    </w:p>
    <w:p w14:paraId="7765E407" w14:textId="77777777" w:rsidR="00CC0315" w:rsidRDefault="00CC0315" w:rsidP="004F0029">
      <w:pPr>
        <w:pStyle w:val="Heading1"/>
        <w:rPr>
          <w:lang w:val="en-US"/>
        </w:rPr>
        <w:sectPr w:rsidR="00CC0315" w:rsidSect="002A3AA4">
          <w:pgSz w:w="12240" w:h="15840"/>
          <w:pgMar w:top="1440" w:right="1440" w:bottom="1440" w:left="1440" w:header="720" w:footer="720" w:gutter="0"/>
          <w:cols w:space="720"/>
          <w:docGrid w:linePitch="360"/>
        </w:sectPr>
      </w:pPr>
    </w:p>
    <w:p w14:paraId="0E66CAEC" w14:textId="1572FD23" w:rsidR="004F0029" w:rsidRDefault="004F0029" w:rsidP="004F0029">
      <w:pPr>
        <w:pStyle w:val="Heading1"/>
        <w:rPr>
          <w:lang w:val="en-US"/>
        </w:rPr>
      </w:pPr>
      <w:r>
        <w:rPr>
          <w:lang w:val="en-US"/>
        </w:rPr>
        <w:lastRenderedPageBreak/>
        <w:t>Figure</w:t>
      </w:r>
      <w:r w:rsidR="004F33BB">
        <w:rPr>
          <w:lang w:val="en-US"/>
        </w:rPr>
        <w:t>s, tables, and</w:t>
      </w:r>
      <w:r>
        <w:rPr>
          <w:lang w:val="en-US"/>
        </w:rPr>
        <w:t xml:space="preserve"> captions</w:t>
      </w:r>
    </w:p>
    <w:p w14:paraId="2FEC2940" w14:textId="77777777" w:rsidR="004F0029" w:rsidRDefault="004F0029" w:rsidP="004F0029">
      <w:pPr>
        <w:rPr>
          <w:lang w:val="en-US"/>
        </w:rPr>
      </w:pPr>
      <w:r>
        <w:rPr>
          <w:noProof/>
          <w:lang w:val="en-US"/>
        </w:rPr>
        <w:drawing>
          <wp:inline distT="0" distB="0" distL="0" distR="0" wp14:anchorId="5555E891" wp14:editId="5BC7DC83">
            <wp:extent cx="5943600" cy="4671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671695"/>
                    </a:xfrm>
                    <a:prstGeom prst="rect">
                      <a:avLst/>
                    </a:prstGeom>
                  </pic:spPr>
                </pic:pic>
              </a:graphicData>
            </a:graphic>
          </wp:inline>
        </w:drawing>
      </w:r>
    </w:p>
    <w:p w14:paraId="11F73FC3" w14:textId="77777777" w:rsidR="004F0029" w:rsidRDefault="004F0029" w:rsidP="004F0029">
      <w:pPr>
        <w:rPr>
          <w:lang w:val="en-US"/>
        </w:rPr>
      </w:pPr>
      <w:r>
        <w:rPr>
          <w:lang w:val="en-US"/>
        </w:rPr>
        <w:t>Figure 1. Average 1-s power output as a function of hanging weight during the Pmax Test.</w:t>
      </w:r>
    </w:p>
    <w:p w14:paraId="010C0B36" w14:textId="77777777" w:rsidR="004F0029" w:rsidRDefault="004F0029" w:rsidP="004F0029">
      <w:pPr>
        <w:pStyle w:val="BodyText"/>
        <w:rPr>
          <w:lang w:val="en-US"/>
        </w:rPr>
      </w:pPr>
      <w:r>
        <w:rPr>
          <w:noProof/>
          <w:lang w:val="en-US"/>
        </w:rPr>
        <w:lastRenderedPageBreak/>
        <w:drawing>
          <wp:inline distT="0" distB="0" distL="0" distR="0" wp14:anchorId="7462003B" wp14:editId="5B444D3D">
            <wp:extent cx="5943599" cy="45102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599" cy="4510216"/>
                    </a:xfrm>
                    <a:prstGeom prst="rect">
                      <a:avLst/>
                    </a:prstGeom>
                  </pic:spPr>
                </pic:pic>
              </a:graphicData>
            </a:graphic>
          </wp:inline>
        </w:drawing>
      </w:r>
    </w:p>
    <w:p w14:paraId="4616D123" w14:textId="4C9E5F13" w:rsidR="004F0029" w:rsidRDefault="004F0029" w:rsidP="004F0029">
      <w:pPr>
        <w:pStyle w:val="BodyText"/>
        <w:rPr>
          <w:lang w:val="en-US"/>
        </w:rPr>
      </w:pPr>
      <w:r>
        <w:rPr>
          <w:lang w:val="en-US"/>
        </w:rPr>
        <w:t>Figure 2. Individual (color) and group mean (thick black) maximum 1-s power output during the three experimental conditions.</w:t>
      </w:r>
    </w:p>
    <w:p w14:paraId="3AEC9E60" w14:textId="77777777" w:rsidR="004F0029" w:rsidRDefault="004F0029" w:rsidP="004F0029">
      <w:pPr>
        <w:pStyle w:val="BodyText"/>
        <w:rPr>
          <w:lang w:val="en-US"/>
        </w:rPr>
      </w:pPr>
      <w:r>
        <w:rPr>
          <w:noProof/>
          <w:lang w:val="en-US"/>
        </w:rPr>
        <w:lastRenderedPageBreak/>
        <w:drawing>
          <wp:inline distT="0" distB="0" distL="0" distR="0" wp14:anchorId="54F5DD11" wp14:editId="07216484">
            <wp:extent cx="5943342" cy="455739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342" cy="4557395"/>
                    </a:xfrm>
                    <a:prstGeom prst="rect">
                      <a:avLst/>
                    </a:prstGeom>
                  </pic:spPr>
                </pic:pic>
              </a:graphicData>
            </a:graphic>
          </wp:inline>
        </w:drawing>
      </w:r>
    </w:p>
    <w:p w14:paraId="22849FDE" w14:textId="2719D799" w:rsidR="004F0029" w:rsidRDefault="004F0029" w:rsidP="004F0029">
      <w:pPr>
        <w:pStyle w:val="BodyText"/>
        <w:rPr>
          <w:lang w:val="en-US"/>
        </w:rPr>
      </w:pPr>
      <w:r>
        <w:rPr>
          <w:lang w:val="en-US"/>
        </w:rPr>
        <w:t>Figure 3. Individual (color) and group mean (thick black) maximum 1-s cadence during the three experimental conditions.</w:t>
      </w:r>
    </w:p>
    <w:p w14:paraId="2570D28A" w14:textId="75465D2B" w:rsidR="00AF1F36" w:rsidRDefault="00AF1F36" w:rsidP="004F0029">
      <w:pPr>
        <w:pStyle w:val="BodyText"/>
        <w:rPr>
          <w:lang w:val="en-US"/>
        </w:rPr>
      </w:pPr>
      <w:r>
        <w:rPr>
          <w:noProof/>
          <w:lang w:val="en-US"/>
        </w:rPr>
        <w:lastRenderedPageBreak/>
        <w:drawing>
          <wp:inline distT="0" distB="0" distL="0" distR="0" wp14:anchorId="27712758" wp14:editId="06062EE6">
            <wp:extent cx="5943600" cy="4615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5815"/>
                    </a:xfrm>
                    <a:prstGeom prst="rect">
                      <a:avLst/>
                    </a:prstGeom>
                  </pic:spPr>
                </pic:pic>
              </a:graphicData>
            </a:graphic>
          </wp:inline>
        </w:drawing>
      </w:r>
    </w:p>
    <w:p w14:paraId="42E72283" w14:textId="52ED6380" w:rsidR="00AF1F36" w:rsidRDefault="00AF1F36" w:rsidP="004F0029">
      <w:pPr>
        <w:pStyle w:val="BodyText"/>
        <w:rPr>
          <w:lang w:val="en-US"/>
        </w:rPr>
      </w:pPr>
      <w:r>
        <w:rPr>
          <w:lang w:val="en-US"/>
        </w:rPr>
        <w:t xml:space="preserve">Figure </w:t>
      </w:r>
      <w:r>
        <w:rPr>
          <w:lang w:val="en-US"/>
        </w:rPr>
        <w:t>4</w:t>
      </w:r>
      <w:r>
        <w:rPr>
          <w:lang w:val="en-US"/>
        </w:rPr>
        <w:t xml:space="preserve">. Individual (color) and group mean (thick black) </w:t>
      </w:r>
      <w:r>
        <w:rPr>
          <w:lang w:val="en-US"/>
        </w:rPr>
        <w:t>range of bicycle lean angle</w:t>
      </w:r>
      <w:r>
        <w:rPr>
          <w:lang w:val="en-US"/>
        </w:rPr>
        <w:t xml:space="preserve"> during the three experimental conditions.</w:t>
      </w:r>
    </w:p>
    <w:p w14:paraId="2E812180" w14:textId="77777777" w:rsidR="004F0029" w:rsidRDefault="004F0029" w:rsidP="004F0029">
      <w:pPr>
        <w:pStyle w:val="BodyText"/>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1"/>
        <w:gridCol w:w="1554"/>
        <w:gridCol w:w="2119"/>
        <w:gridCol w:w="1236"/>
      </w:tblGrid>
      <w:tr w:rsidR="004F0029" w14:paraId="3E60FDAB" w14:textId="77777777" w:rsidTr="004F0029">
        <w:tc>
          <w:tcPr>
            <w:tcW w:w="5000" w:type="pct"/>
            <w:gridSpan w:val="4"/>
            <w:tcBorders>
              <w:bottom w:val="single" w:sz="18" w:space="0" w:color="auto"/>
            </w:tcBorders>
          </w:tcPr>
          <w:p w14:paraId="279FF404" w14:textId="1591420B" w:rsidR="004F0029" w:rsidRDefault="004F0029" w:rsidP="004F0029">
            <w:pPr>
              <w:pStyle w:val="BodyText"/>
              <w:spacing w:line="240" w:lineRule="auto"/>
              <w:rPr>
                <w:lang w:val="en-US"/>
              </w:rPr>
            </w:pPr>
            <w:r>
              <w:rPr>
                <w:lang w:val="en-US"/>
              </w:rPr>
              <w:t>Table 1. Group results (n=1</w:t>
            </w:r>
            <w:r w:rsidR="00AF1F36">
              <w:rPr>
                <w:lang w:val="en-US"/>
              </w:rPr>
              <w:t>7</w:t>
            </w:r>
            <w:r>
              <w:rPr>
                <w:lang w:val="en-US"/>
              </w:rPr>
              <w:t>) in each condition during all-out 5-s cycling sprints in a non-seated posture. See Table 2 for more detailed statistical results.</w:t>
            </w:r>
          </w:p>
        </w:tc>
      </w:tr>
      <w:tr w:rsidR="004F0029" w14:paraId="6B6DB824" w14:textId="77777777" w:rsidTr="004F0029">
        <w:tc>
          <w:tcPr>
            <w:tcW w:w="2378" w:type="pct"/>
            <w:tcBorders>
              <w:top w:val="single" w:sz="18" w:space="0" w:color="auto"/>
            </w:tcBorders>
          </w:tcPr>
          <w:p w14:paraId="42FE86C5" w14:textId="77777777" w:rsidR="004F0029" w:rsidRDefault="004F0029" w:rsidP="00541468">
            <w:pPr>
              <w:pStyle w:val="BodyText"/>
              <w:spacing w:line="240" w:lineRule="auto"/>
              <w:rPr>
                <w:lang w:val="en-US"/>
              </w:rPr>
            </w:pPr>
          </w:p>
        </w:tc>
        <w:tc>
          <w:tcPr>
            <w:tcW w:w="830" w:type="pct"/>
            <w:tcBorders>
              <w:top w:val="single" w:sz="18" w:space="0" w:color="auto"/>
              <w:bottom w:val="single" w:sz="4" w:space="0" w:color="auto"/>
            </w:tcBorders>
          </w:tcPr>
          <w:p w14:paraId="39850B02" w14:textId="77777777" w:rsidR="004F0029" w:rsidRDefault="004F0029" w:rsidP="00541468">
            <w:pPr>
              <w:pStyle w:val="BodyText"/>
              <w:spacing w:line="240" w:lineRule="auto"/>
              <w:rPr>
                <w:lang w:val="en-US"/>
              </w:rPr>
            </w:pPr>
            <w:r>
              <w:rPr>
                <w:lang w:val="en-US"/>
              </w:rPr>
              <w:t>ad libitum</w:t>
            </w:r>
          </w:p>
        </w:tc>
        <w:tc>
          <w:tcPr>
            <w:tcW w:w="1132" w:type="pct"/>
            <w:tcBorders>
              <w:top w:val="single" w:sz="18" w:space="0" w:color="auto"/>
              <w:bottom w:val="single" w:sz="4" w:space="0" w:color="auto"/>
            </w:tcBorders>
          </w:tcPr>
          <w:p w14:paraId="40042498" w14:textId="77777777" w:rsidR="004F0029" w:rsidRDefault="004F0029" w:rsidP="00541468">
            <w:pPr>
              <w:pStyle w:val="BodyText"/>
              <w:spacing w:line="240" w:lineRule="auto"/>
              <w:rPr>
                <w:lang w:val="en-US"/>
              </w:rPr>
            </w:pPr>
            <w:r>
              <w:rPr>
                <w:lang w:val="en-US"/>
              </w:rPr>
              <w:t>Self-restricted</w:t>
            </w:r>
          </w:p>
        </w:tc>
        <w:tc>
          <w:tcPr>
            <w:tcW w:w="660" w:type="pct"/>
            <w:tcBorders>
              <w:top w:val="single" w:sz="18" w:space="0" w:color="auto"/>
              <w:bottom w:val="single" w:sz="4" w:space="0" w:color="auto"/>
            </w:tcBorders>
          </w:tcPr>
          <w:p w14:paraId="79FC9F07" w14:textId="77777777" w:rsidR="004F0029" w:rsidRDefault="004F0029" w:rsidP="00541468">
            <w:pPr>
              <w:pStyle w:val="BodyText"/>
              <w:spacing w:line="240" w:lineRule="auto"/>
              <w:rPr>
                <w:lang w:val="en-US"/>
              </w:rPr>
            </w:pPr>
            <w:r>
              <w:rPr>
                <w:lang w:val="en-US"/>
              </w:rPr>
              <w:t>Locked</w:t>
            </w:r>
          </w:p>
        </w:tc>
      </w:tr>
      <w:tr w:rsidR="004F0029" w14:paraId="0525F366" w14:textId="77777777" w:rsidTr="00541468">
        <w:tc>
          <w:tcPr>
            <w:tcW w:w="2378" w:type="pct"/>
            <w:tcBorders>
              <w:bottom w:val="single" w:sz="4" w:space="0" w:color="auto"/>
            </w:tcBorders>
          </w:tcPr>
          <w:p w14:paraId="6B3E2CCB" w14:textId="77777777" w:rsidR="004F0029" w:rsidRDefault="004F0029" w:rsidP="00541468">
            <w:pPr>
              <w:pStyle w:val="BodyText"/>
              <w:spacing w:line="240" w:lineRule="auto"/>
              <w:rPr>
                <w:lang w:val="en-US"/>
              </w:rPr>
            </w:pPr>
          </w:p>
        </w:tc>
        <w:tc>
          <w:tcPr>
            <w:tcW w:w="830" w:type="pct"/>
            <w:tcBorders>
              <w:top w:val="single" w:sz="4" w:space="0" w:color="auto"/>
              <w:bottom w:val="single" w:sz="4" w:space="0" w:color="auto"/>
            </w:tcBorders>
          </w:tcPr>
          <w:p w14:paraId="4B49615B" w14:textId="77777777" w:rsidR="004F0029" w:rsidRDefault="004F0029" w:rsidP="00541468">
            <w:pPr>
              <w:pStyle w:val="BodyText"/>
              <w:spacing w:line="240" w:lineRule="auto"/>
              <w:rPr>
                <w:lang w:val="en-US"/>
              </w:rPr>
            </w:pPr>
            <w:r>
              <w:rPr>
                <w:lang w:val="en-US"/>
              </w:rPr>
              <w:t xml:space="preserve">m + </w:t>
            </w:r>
            <w:proofErr w:type="spellStart"/>
            <w:r>
              <w:rPr>
                <w:lang w:val="en-US"/>
              </w:rPr>
              <w:t>sd</w:t>
            </w:r>
            <w:proofErr w:type="spellEnd"/>
          </w:p>
        </w:tc>
        <w:tc>
          <w:tcPr>
            <w:tcW w:w="1132" w:type="pct"/>
            <w:tcBorders>
              <w:top w:val="single" w:sz="4" w:space="0" w:color="auto"/>
              <w:bottom w:val="single" w:sz="4" w:space="0" w:color="auto"/>
            </w:tcBorders>
          </w:tcPr>
          <w:p w14:paraId="5928B267" w14:textId="77777777" w:rsidR="004F0029" w:rsidRDefault="004F0029" w:rsidP="00541468">
            <w:pPr>
              <w:pStyle w:val="BodyText"/>
              <w:spacing w:line="240" w:lineRule="auto"/>
              <w:rPr>
                <w:lang w:val="en-US"/>
              </w:rPr>
            </w:pPr>
            <w:r>
              <w:rPr>
                <w:lang w:val="en-US"/>
              </w:rPr>
              <w:t xml:space="preserve">m + </w:t>
            </w:r>
            <w:proofErr w:type="spellStart"/>
            <w:r>
              <w:rPr>
                <w:lang w:val="en-US"/>
              </w:rPr>
              <w:t>sd</w:t>
            </w:r>
            <w:proofErr w:type="spellEnd"/>
          </w:p>
        </w:tc>
        <w:tc>
          <w:tcPr>
            <w:tcW w:w="660" w:type="pct"/>
            <w:tcBorders>
              <w:top w:val="single" w:sz="4" w:space="0" w:color="auto"/>
              <w:bottom w:val="single" w:sz="4" w:space="0" w:color="auto"/>
            </w:tcBorders>
          </w:tcPr>
          <w:p w14:paraId="09510B2A" w14:textId="77777777" w:rsidR="004F0029" w:rsidRDefault="004F0029" w:rsidP="00541468">
            <w:pPr>
              <w:pStyle w:val="BodyText"/>
              <w:spacing w:line="240" w:lineRule="auto"/>
              <w:rPr>
                <w:lang w:val="en-US"/>
              </w:rPr>
            </w:pPr>
            <w:r>
              <w:rPr>
                <w:lang w:val="en-US"/>
              </w:rPr>
              <w:t xml:space="preserve">m + </w:t>
            </w:r>
            <w:proofErr w:type="spellStart"/>
            <w:r>
              <w:rPr>
                <w:lang w:val="en-US"/>
              </w:rPr>
              <w:t>sd</w:t>
            </w:r>
            <w:proofErr w:type="spellEnd"/>
          </w:p>
        </w:tc>
      </w:tr>
      <w:tr w:rsidR="004F0029" w14:paraId="328B9AB5" w14:textId="77777777" w:rsidTr="00541468">
        <w:tc>
          <w:tcPr>
            <w:tcW w:w="2378" w:type="pct"/>
            <w:tcBorders>
              <w:top w:val="single" w:sz="4" w:space="0" w:color="auto"/>
            </w:tcBorders>
          </w:tcPr>
          <w:p w14:paraId="1BF738D1" w14:textId="77777777" w:rsidR="004F0029" w:rsidRDefault="004F0029" w:rsidP="00541468">
            <w:pPr>
              <w:pStyle w:val="BodyText"/>
              <w:spacing w:line="240" w:lineRule="auto"/>
              <w:rPr>
                <w:lang w:val="en-US"/>
              </w:rPr>
            </w:pPr>
            <w:r>
              <w:rPr>
                <w:lang w:val="en-US"/>
              </w:rPr>
              <w:t>Range bicycle lean angle (deg)</w:t>
            </w:r>
          </w:p>
        </w:tc>
        <w:tc>
          <w:tcPr>
            <w:tcW w:w="830" w:type="pct"/>
            <w:tcBorders>
              <w:top w:val="single" w:sz="4" w:space="0" w:color="auto"/>
            </w:tcBorders>
          </w:tcPr>
          <w:p w14:paraId="764B7C92" w14:textId="1495D0DC" w:rsidR="004F0029" w:rsidRDefault="00AF1F36" w:rsidP="00541468">
            <w:pPr>
              <w:pStyle w:val="BodyText"/>
              <w:spacing w:line="240" w:lineRule="auto"/>
              <w:rPr>
                <w:lang w:val="en-US"/>
              </w:rPr>
            </w:pPr>
            <w:r>
              <w:rPr>
                <w:lang w:val="en-US"/>
              </w:rPr>
              <w:t>10.0</w:t>
            </w:r>
          </w:p>
        </w:tc>
        <w:tc>
          <w:tcPr>
            <w:tcW w:w="1132" w:type="pct"/>
            <w:tcBorders>
              <w:top w:val="single" w:sz="4" w:space="0" w:color="auto"/>
            </w:tcBorders>
          </w:tcPr>
          <w:p w14:paraId="48F6D44A" w14:textId="502D91C1" w:rsidR="004F0029" w:rsidRDefault="00AF1F36" w:rsidP="00541468">
            <w:pPr>
              <w:pStyle w:val="BodyText"/>
              <w:spacing w:line="240" w:lineRule="auto"/>
              <w:rPr>
                <w:lang w:val="en-US"/>
              </w:rPr>
            </w:pPr>
            <w:r>
              <w:rPr>
                <w:lang w:val="en-US"/>
              </w:rPr>
              <w:t>3.8</w:t>
            </w:r>
          </w:p>
        </w:tc>
        <w:tc>
          <w:tcPr>
            <w:tcW w:w="660" w:type="pct"/>
            <w:tcBorders>
              <w:top w:val="single" w:sz="4" w:space="0" w:color="auto"/>
            </w:tcBorders>
          </w:tcPr>
          <w:p w14:paraId="403B0069" w14:textId="444C008B" w:rsidR="004F0029" w:rsidRDefault="00AF1F36" w:rsidP="00541468">
            <w:pPr>
              <w:pStyle w:val="BodyText"/>
              <w:spacing w:line="240" w:lineRule="auto"/>
              <w:rPr>
                <w:lang w:val="en-US"/>
              </w:rPr>
            </w:pPr>
            <w:r>
              <w:rPr>
                <w:lang w:val="en-US"/>
              </w:rPr>
              <w:t>0.9</w:t>
            </w:r>
          </w:p>
        </w:tc>
      </w:tr>
      <w:tr w:rsidR="004F0029" w14:paraId="692D5668" w14:textId="77777777" w:rsidTr="00541468">
        <w:tc>
          <w:tcPr>
            <w:tcW w:w="2378" w:type="pct"/>
          </w:tcPr>
          <w:p w14:paraId="30BACE13" w14:textId="6F15C0B0" w:rsidR="00AF1F36" w:rsidRDefault="004F0029" w:rsidP="00541468">
            <w:pPr>
              <w:pStyle w:val="BodyText"/>
              <w:spacing w:line="240" w:lineRule="auto"/>
              <w:rPr>
                <w:lang w:val="en-US"/>
              </w:rPr>
            </w:pPr>
            <w:r>
              <w:rPr>
                <w:lang w:val="en-US"/>
              </w:rPr>
              <w:t>Maximum 1-s power output (W)</w:t>
            </w:r>
          </w:p>
        </w:tc>
        <w:tc>
          <w:tcPr>
            <w:tcW w:w="830" w:type="pct"/>
          </w:tcPr>
          <w:p w14:paraId="09806AD9" w14:textId="5921A695" w:rsidR="00AF1F36" w:rsidRDefault="00AF1F36" w:rsidP="00541468">
            <w:pPr>
              <w:pStyle w:val="BodyText"/>
              <w:spacing w:line="240" w:lineRule="auto"/>
              <w:rPr>
                <w:lang w:val="en-US"/>
              </w:rPr>
            </w:pPr>
            <w:r>
              <w:rPr>
                <w:lang w:val="en-US"/>
              </w:rPr>
              <w:t>999.1</w:t>
            </w:r>
          </w:p>
        </w:tc>
        <w:tc>
          <w:tcPr>
            <w:tcW w:w="1132" w:type="pct"/>
          </w:tcPr>
          <w:p w14:paraId="1E8FC64C" w14:textId="7C4C0628" w:rsidR="004F0029" w:rsidRDefault="00AF1F36" w:rsidP="00541468">
            <w:pPr>
              <w:pStyle w:val="BodyText"/>
              <w:spacing w:line="240" w:lineRule="auto"/>
              <w:rPr>
                <w:lang w:val="en-US"/>
              </w:rPr>
            </w:pPr>
            <w:r>
              <w:rPr>
                <w:lang w:val="en-US"/>
              </w:rPr>
              <w:t>953</w:t>
            </w:r>
          </w:p>
        </w:tc>
        <w:tc>
          <w:tcPr>
            <w:tcW w:w="660" w:type="pct"/>
          </w:tcPr>
          <w:p w14:paraId="0CB725AF" w14:textId="600F2716" w:rsidR="004F0029" w:rsidRDefault="00AF1F36" w:rsidP="00541468">
            <w:pPr>
              <w:pStyle w:val="BodyText"/>
              <w:spacing w:line="240" w:lineRule="auto"/>
              <w:rPr>
                <w:lang w:val="en-US"/>
              </w:rPr>
            </w:pPr>
            <w:r>
              <w:rPr>
                <w:lang w:val="en-US"/>
              </w:rPr>
              <w:t>1011</w:t>
            </w:r>
          </w:p>
        </w:tc>
      </w:tr>
      <w:tr w:rsidR="00AF1F36" w14:paraId="5F40A495" w14:textId="77777777" w:rsidTr="00541468">
        <w:tc>
          <w:tcPr>
            <w:tcW w:w="2378" w:type="pct"/>
          </w:tcPr>
          <w:p w14:paraId="6C500DCB" w14:textId="308E0637" w:rsidR="00AF1F36" w:rsidRDefault="00AF1F36" w:rsidP="00541468">
            <w:pPr>
              <w:pStyle w:val="BodyText"/>
              <w:spacing w:line="240" w:lineRule="auto"/>
              <w:rPr>
                <w:lang w:val="en-US"/>
              </w:rPr>
            </w:pPr>
            <w:r>
              <w:rPr>
                <w:lang w:val="en-US"/>
              </w:rPr>
              <w:t>Maximum 1-s power output (W/kg)</w:t>
            </w:r>
          </w:p>
        </w:tc>
        <w:tc>
          <w:tcPr>
            <w:tcW w:w="830" w:type="pct"/>
          </w:tcPr>
          <w:p w14:paraId="562E1058" w14:textId="77777777" w:rsidR="00AF1F36" w:rsidRDefault="00AF1F36" w:rsidP="00541468">
            <w:pPr>
              <w:pStyle w:val="BodyText"/>
              <w:spacing w:line="240" w:lineRule="auto"/>
              <w:rPr>
                <w:lang w:val="en-US"/>
              </w:rPr>
            </w:pPr>
          </w:p>
        </w:tc>
        <w:tc>
          <w:tcPr>
            <w:tcW w:w="1132" w:type="pct"/>
          </w:tcPr>
          <w:p w14:paraId="4035D384" w14:textId="77777777" w:rsidR="00AF1F36" w:rsidRDefault="00AF1F36" w:rsidP="00541468">
            <w:pPr>
              <w:pStyle w:val="BodyText"/>
              <w:spacing w:line="240" w:lineRule="auto"/>
              <w:rPr>
                <w:lang w:val="en-US"/>
              </w:rPr>
            </w:pPr>
          </w:p>
        </w:tc>
        <w:tc>
          <w:tcPr>
            <w:tcW w:w="660" w:type="pct"/>
          </w:tcPr>
          <w:p w14:paraId="6C0036BB" w14:textId="77777777" w:rsidR="00AF1F36" w:rsidRDefault="00AF1F36" w:rsidP="00541468">
            <w:pPr>
              <w:pStyle w:val="BodyText"/>
              <w:spacing w:line="240" w:lineRule="auto"/>
              <w:rPr>
                <w:lang w:val="en-US"/>
              </w:rPr>
            </w:pPr>
          </w:p>
        </w:tc>
      </w:tr>
      <w:tr w:rsidR="004F0029" w14:paraId="6E84EA95" w14:textId="77777777" w:rsidTr="00541468">
        <w:tc>
          <w:tcPr>
            <w:tcW w:w="2378" w:type="pct"/>
            <w:tcBorders>
              <w:bottom w:val="single" w:sz="18" w:space="0" w:color="auto"/>
            </w:tcBorders>
          </w:tcPr>
          <w:p w14:paraId="0B58B797" w14:textId="77777777" w:rsidR="004F0029" w:rsidRDefault="004F0029" w:rsidP="00541468">
            <w:pPr>
              <w:pStyle w:val="BodyText"/>
              <w:spacing w:line="240" w:lineRule="auto"/>
              <w:rPr>
                <w:lang w:val="en-US"/>
              </w:rPr>
            </w:pPr>
            <w:r>
              <w:rPr>
                <w:lang w:val="en-US"/>
              </w:rPr>
              <w:t>Maximum 1-s cadence (rpm)</w:t>
            </w:r>
          </w:p>
        </w:tc>
        <w:tc>
          <w:tcPr>
            <w:tcW w:w="830" w:type="pct"/>
            <w:tcBorders>
              <w:bottom w:val="single" w:sz="18" w:space="0" w:color="auto"/>
            </w:tcBorders>
          </w:tcPr>
          <w:p w14:paraId="6587CD3B" w14:textId="25038F1B" w:rsidR="004F0029" w:rsidRDefault="00AF1F36" w:rsidP="00541468">
            <w:pPr>
              <w:pStyle w:val="BodyText"/>
              <w:spacing w:line="240" w:lineRule="auto"/>
              <w:rPr>
                <w:lang w:val="en-US"/>
              </w:rPr>
            </w:pPr>
            <w:r>
              <w:rPr>
                <w:lang w:val="en-US"/>
              </w:rPr>
              <w:t>112.4</w:t>
            </w:r>
          </w:p>
        </w:tc>
        <w:tc>
          <w:tcPr>
            <w:tcW w:w="1132" w:type="pct"/>
            <w:tcBorders>
              <w:bottom w:val="single" w:sz="18" w:space="0" w:color="auto"/>
            </w:tcBorders>
          </w:tcPr>
          <w:p w14:paraId="25D9452C" w14:textId="2594CD0F" w:rsidR="004F0029" w:rsidRDefault="00AF1F36" w:rsidP="00541468">
            <w:pPr>
              <w:pStyle w:val="BodyText"/>
              <w:spacing w:line="240" w:lineRule="auto"/>
              <w:rPr>
                <w:lang w:val="en-US"/>
              </w:rPr>
            </w:pPr>
            <w:r>
              <w:rPr>
                <w:lang w:val="en-US"/>
              </w:rPr>
              <w:t>109.9</w:t>
            </w:r>
          </w:p>
        </w:tc>
        <w:tc>
          <w:tcPr>
            <w:tcW w:w="660" w:type="pct"/>
            <w:tcBorders>
              <w:bottom w:val="single" w:sz="18" w:space="0" w:color="auto"/>
            </w:tcBorders>
          </w:tcPr>
          <w:p w14:paraId="1B3F82AD" w14:textId="7B008F39" w:rsidR="004F0029" w:rsidRDefault="00AF1F36" w:rsidP="00541468">
            <w:pPr>
              <w:pStyle w:val="BodyText"/>
              <w:spacing w:line="240" w:lineRule="auto"/>
              <w:rPr>
                <w:lang w:val="en-US"/>
              </w:rPr>
            </w:pPr>
            <w:r>
              <w:rPr>
                <w:lang w:val="en-US"/>
              </w:rPr>
              <w:t>114.7</w:t>
            </w:r>
          </w:p>
        </w:tc>
      </w:tr>
      <w:tr w:rsidR="004F0029" w14:paraId="6B72332A" w14:textId="77777777" w:rsidTr="00541468">
        <w:tc>
          <w:tcPr>
            <w:tcW w:w="5000" w:type="pct"/>
            <w:gridSpan w:val="4"/>
            <w:tcBorders>
              <w:top w:val="single" w:sz="18" w:space="0" w:color="auto"/>
            </w:tcBorders>
          </w:tcPr>
          <w:p w14:paraId="7C2837C2" w14:textId="77777777" w:rsidR="004F0029" w:rsidRDefault="004F0029" w:rsidP="00541468">
            <w:pPr>
              <w:pStyle w:val="BodyText"/>
              <w:spacing w:line="240" w:lineRule="auto"/>
              <w:rPr>
                <w:lang w:val="en-US"/>
              </w:rPr>
            </w:pPr>
            <w:r>
              <w:rPr>
                <w:vertAlign w:val="superscript"/>
                <w:lang w:val="en-US"/>
              </w:rPr>
              <w:t>a</w:t>
            </w:r>
            <w:r>
              <w:rPr>
                <w:lang w:val="en-US"/>
              </w:rPr>
              <w:t xml:space="preserve"> statistical difference between ad libitum and self-restricted (p&lt;0.05).</w:t>
            </w:r>
          </w:p>
          <w:p w14:paraId="2DF00164" w14:textId="56CFC78A" w:rsidR="004F0029" w:rsidRPr="007A7915" w:rsidRDefault="004F0029" w:rsidP="00541468">
            <w:pPr>
              <w:pStyle w:val="BodyText"/>
              <w:spacing w:line="240" w:lineRule="auto"/>
              <w:rPr>
                <w:lang w:val="en-US"/>
              </w:rPr>
            </w:pPr>
            <w:r>
              <w:rPr>
                <w:vertAlign w:val="superscript"/>
                <w:lang w:val="en-US"/>
              </w:rPr>
              <w:t>b</w:t>
            </w:r>
            <w:r>
              <w:rPr>
                <w:lang w:val="en-US"/>
              </w:rPr>
              <w:t xml:space="preserve"> statistical difference between locked and self-restricted (p&lt;0.05).</w:t>
            </w:r>
          </w:p>
        </w:tc>
      </w:tr>
    </w:tbl>
    <w:p w14:paraId="1721CA4C" w14:textId="77777777" w:rsidR="004F0029" w:rsidRDefault="004F0029" w:rsidP="004F0029">
      <w:pPr>
        <w:pStyle w:val="BodyText"/>
        <w:rPr>
          <w:lang w:val="en-US"/>
        </w:rPr>
      </w:pPr>
    </w:p>
    <w:p w14:paraId="175F6DA8" w14:textId="762AE80E" w:rsidR="004F0029" w:rsidRDefault="004F0029" w:rsidP="004F0029">
      <w:pPr>
        <w:pStyle w:val="BodyText"/>
        <w:rPr>
          <w:lang w:val="en-US"/>
        </w:rPr>
      </w:pPr>
      <w:r>
        <w:rPr>
          <w:lang w:val="en-US"/>
        </w:rPr>
        <w:lastRenderedPageBreak/>
        <w:t>Table 2. Statistical analysis of group results (n=15) shown in Table 1. Multiple comparisons were corrected using the Dunn-</w:t>
      </w:r>
      <w:proofErr w:type="spellStart"/>
      <w:r>
        <w:rPr>
          <w:lang w:val="en-US"/>
        </w:rPr>
        <w:t>Sidak</w:t>
      </w:r>
      <w:proofErr w:type="spellEnd"/>
      <w:r>
        <w:rPr>
          <w:lang w:val="en-US"/>
        </w:rPr>
        <w:t xml:space="preserve"> method.</w:t>
      </w:r>
    </w:p>
    <w:p w14:paraId="72B23D75" w14:textId="77777777" w:rsidR="004F0029" w:rsidRPr="00B10B0C" w:rsidRDefault="004F0029" w:rsidP="004F0029">
      <w:pPr>
        <w:pStyle w:val="BodyText"/>
        <w:rPr>
          <w:lang w:val="en-US"/>
        </w:rPr>
      </w:pPr>
    </w:p>
    <w:p w14:paraId="074DFB83" w14:textId="77777777" w:rsidR="004F0029" w:rsidRPr="004F0029" w:rsidRDefault="004F0029" w:rsidP="004F0029">
      <w:pPr>
        <w:pStyle w:val="BodyText"/>
        <w:rPr>
          <w:lang w:val="en-US"/>
        </w:rPr>
      </w:pPr>
    </w:p>
    <w:p w14:paraId="30E38BF0" w14:textId="77777777" w:rsidR="004F0029" w:rsidRPr="004F0029" w:rsidRDefault="004F0029" w:rsidP="004F0029">
      <w:pPr>
        <w:pStyle w:val="BodyText"/>
        <w:rPr>
          <w:lang w:val="en-US"/>
        </w:rPr>
      </w:pPr>
    </w:p>
    <w:p w14:paraId="2055A738" w14:textId="77777777" w:rsidR="004F0029" w:rsidRPr="004F0029" w:rsidRDefault="004F0029" w:rsidP="004F0029">
      <w:pPr>
        <w:pStyle w:val="BodyText"/>
        <w:rPr>
          <w:lang w:val="en-US"/>
        </w:rPr>
      </w:pPr>
    </w:p>
    <w:p w14:paraId="2078905C" w14:textId="77777777" w:rsidR="004F0029" w:rsidRPr="004F0029" w:rsidRDefault="004F0029" w:rsidP="004F0029">
      <w:pPr>
        <w:pStyle w:val="BodyText"/>
        <w:rPr>
          <w:lang w:val="en-US"/>
        </w:rPr>
      </w:pPr>
    </w:p>
    <w:sectPr w:rsidR="004F0029" w:rsidRPr="004F0029" w:rsidSect="002A3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20B0604020202020204"/>
    <w:charset w:val="00"/>
    <w:family w:val="auto"/>
    <w:pitch w:val="variable"/>
    <w:sig w:usb0="8000002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10D7"/>
    <w:multiLevelType w:val="multilevel"/>
    <w:tmpl w:val="3CB8C156"/>
    <w:lvl w:ilvl="0">
      <w:start w:val="1"/>
      <w:numFmt w:val="bullet"/>
      <w:pStyle w:val="ListBullet"/>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Arial Rounded MT" w:hAnsi="Arial Rounded MT" w:hint="default"/>
        <w:color w:val="auto"/>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Arial Rounded MT" w:hAnsi="Arial Rounded MT" w:hint="default"/>
      </w:rPr>
    </w:lvl>
    <w:lvl w:ilvl="4">
      <w:start w:val="1"/>
      <w:numFmt w:val="bullet"/>
      <w:lvlText w:val=""/>
      <w:lvlJc w:val="left"/>
      <w:pPr>
        <w:tabs>
          <w:tab w:val="num" w:pos="2125"/>
        </w:tabs>
        <w:ind w:left="2125" w:hanging="425"/>
      </w:pPr>
      <w:rPr>
        <w:rFonts w:ascii="Symbol" w:hAnsi="Symbol" w:hint="default"/>
        <w:color w:val="auto"/>
      </w:rPr>
    </w:lvl>
    <w:lvl w:ilvl="5">
      <w:start w:val="1"/>
      <w:numFmt w:val="bullet"/>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 w15:restartNumberingAfterBreak="0">
    <w:nsid w:val="0EF75435"/>
    <w:multiLevelType w:val="multilevel"/>
    <w:tmpl w:val="C818FDFC"/>
    <w:lvl w:ilvl="0">
      <w:start w:val="1"/>
      <w:numFmt w:val="lowerLetter"/>
      <w:pStyle w:val="ListAlpha"/>
      <w:lvlText w:val="%1."/>
      <w:lvlJc w:val="left"/>
      <w:pPr>
        <w:tabs>
          <w:tab w:val="num" w:pos="425"/>
        </w:tabs>
        <w:ind w:left="425" w:hanging="425"/>
      </w:pPr>
      <w:rPr>
        <w:rFonts w:hint="default"/>
      </w:rPr>
    </w:lvl>
    <w:lvl w:ilvl="1">
      <w:start w:val="1"/>
      <w:numFmt w:val="lowerRoman"/>
      <w:lvlText w:val="%2."/>
      <w:lvlJc w:val="left"/>
      <w:pPr>
        <w:tabs>
          <w:tab w:val="num" w:pos="850"/>
        </w:tabs>
        <w:ind w:left="850" w:hanging="425"/>
      </w:pPr>
      <w:rPr>
        <w:rFonts w:hint="default"/>
      </w:rPr>
    </w:lvl>
    <w:lvl w:ilvl="2">
      <w:start w:val="1"/>
      <w:numFmt w:val="decimal"/>
      <w:lvlText w:val="%3."/>
      <w:lvlJc w:val="left"/>
      <w:pPr>
        <w:tabs>
          <w:tab w:val="num" w:pos="1275"/>
        </w:tabs>
        <w:ind w:left="1275" w:hanging="425"/>
      </w:pPr>
      <w:rPr>
        <w:rFonts w:hint="default"/>
      </w:rPr>
    </w:lvl>
    <w:lvl w:ilvl="3">
      <w:start w:val="1"/>
      <w:numFmt w:val="upperLetter"/>
      <w:lvlText w:val="%4."/>
      <w:lvlJc w:val="left"/>
      <w:pPr>
        <w:tabs>
          <w:tab w:val="num" w:pos="1700"/>
        </w:tabs>
        <w:ind w:left="1700" w:hanging="425"/>
      </w:pPr>
      <w:rPr>
        <w:rFonts w:hint="default"/>
      </w:rPr>
    </w:lvl>
    <w:lvl w:ilvl="4">
      <w:start w:val="1"/>
      <w:numFmt w:val="upperRoman"/>
      <w:lvlText w:val="%5."/>
      <w:lvlJc w:val="left"/>
      <w:pPr>
        <w:tabs>
          <w:tab w:val="num" w:pos="2125"/>
        </w:tabs>
        <w:ind w:left="2125" w:hanging="425"/>
      </w:pPr>
      <w:rPr>
        <w:rFonts w:hint="default"/>
      </w:rPr>
    </w:lvl>
    <w:lvl w:ilvl="5">
      <w:start w:val="1"/>
      <w:numFmt w:val="lowerLetter"/>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 w15:restartNumberingAfterBreak="0">
    <w:nsid w:val="1A4E610B"/>
    <w:multiLevelType w:val="multilevel"/>
    <w:tmpl w:val="AD02B8E2"/>
    <w:lvl w:ilvl="0">
      <w:start w:val="1"/>
      <w:numFmt w:val="decimal"/>
      <w:pStyle w:val="ListNumber"/>
      <w:lvlText w:val="%1."/>
      <w:lvlJc w:val="left"/>
      <w:pPr>
        <w:tabs>
          <w:tab w:val="num" w:pos="0"/>
        </w:tabs>
        <w:ind w:left="425" w:hanging="425"/>
      </w:pPr>
      <w:rPr>
        <w:rFonts w:hint="default"/>
      </w:rPr>
    </w:lvl>
    <w:lvl w:ilvl="1">
      <w:start w:val="1"/>
      <w:numFmt w:val="lowerLetter"/>
      <w:lvlText w:val="%2."/>
      <w:lvlJc w:val="left"/>
      <w:pPr>
        <w:tabs>
          <w:tab w:val="num" w:pos="850"/>
        </w:tabs>
        <w:ind w:left="850" w:hanging="425"/>
      </w:pPr>
      <w:rPr>
        <w:rFonts w:hint="default"/>
      </w:rPr>
    </w:lvl>
    <w:lvl w:ilvl="2">
      <w:start w:val="1"/>
      <w:numFmt w:val="lowerRoman"/>
      <w:lvlText w:val="%3."/>
      <w:lvlJc w:val="left"/>
      <w:pPr>
        <w:tabs>
          <w:tab w:val="num" w:pos="1275"/>
        </w:tabs>
        <w:ind w:left="1275" w:hanging="425"/>
      </w:pPr>
      <w:rPr>
        <w:rFonts w:hint="default"/>
      </w:rPr>
    </w:lvl>
    <w:lvl w:ilvl="3">
      <w:start w:val="1"/>
      <w:numFmt w:val="upperLetter"/>
      <w:lvlText w:val="%4."/>
      <w:lvlJc w:val="left"/>
      <w:pPr>
        <w:tabs>
          <w:tab w:val="num" w:pos="1700"/>
        </w:tabs>
        <w:ind w:left="1700" w:hanging="425"/>
      </w:pPr>
      <w:rPr>
        <w:rFonts w:hint="default"/>
      </w:rPr>
    </w:lvl>
    <w:lvl w:ilvl="4">
      <w:start w:val="1"/>
      <w:numFmt w:val="upperRoman"/>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 w15:restartNumberingAfterBreak="0">
    <w:nsid w:val="1D737170"/>
    <w:multiLevelType w:val="multilevel"/>
    <w:tmpl w:val="4F3871B0"/>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 w15:restartNumberingAfterBreak="0">
    <w:nsid w:val="27B57907"/>
    <w:multiLevelType w:val="multilevel"/>
    <w:tmpl w:val="3CE6B428"/>
    <w:lvl w:ilvl="0">
      <w:start w:val="1"/>
      <w:numFmt w:val="bullet"/>
      <w:pStyle w:val="TableBullet"/>
      <w:lvlText w:val=""/>
      <w:lvlJc w:val="left"/>
      <w:pPr>
        <w:tabs>
          <w:tab w:val="num" w:pos="397"/>
        </w:tabs>
        <w:ind w:left="397" w:hanging="284"/>
      </w:pPr>
      <w:rPr>
        <w:rFonts w:ascii="Symbol" w:hAnsi="Symbol" w:hint="default"/>
      </w:rPr>
    </w:lvl>
    <w:lvl w:ilvl="1">
      <w:start w:val="1"/>
      <w:numFmt w:val="bullet"/>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15:restartNumberingAfterBreak="0">
    <w:nsid w:val="29973E80"/>
    <w:multiLevelType w:val="multilevel"/>
    <w:tmpl w:val="0024B0C4"/>
    <w:lvl w:ilvl="0">
      <w:start w:val="1"/>
      <w:numFmt w:val="decimal"/>
      <w:pStyle w:val="TableNumber"/>
      <w:lvlText w:val="%1."/>
      <w:lvlJc w:val="left"/>
      <w:pPr>
        <w:tabs>
          <w:tab w:val="num" w:pos="397"/>
        </w:tabs>
        <w:ind w:left="397" w:hanging="284"/>
      </w:pPr>
      <w:rPr>
        <w:rFonts w:hint="default"/>
      </w:rPr>
    </w:lvl>
    <w:lvl w:ilvl="1">
      <w:start w:val="1"/>
      <w:numFmt w:val="lowerLetter"/>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48C90D8A"/>
    <w:multiLevelType w:val="multilevel"/>
    <w:tmpl w:val="8AEC2BB6"/>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52AA0A7D"/>
    <w:multiLevelType w:val="multilevel"/>
    <w:tmpl w:val="56382C50"/>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53FE7795"/>
    <w:multiLevelType w:val="multilevel"/>
    <w:tmpl w:val="E1DAF0AE"/>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8"/>
  </w:num>
  <w:num w:numId="8">
    <w:abstractNumId w:val="6"/>
    <w:lvlOverride w:ilvl="1">
      <w:lvl w:ilvl="1">
        <w:start w:val="1"/>
        <w:numFmt w:val="decimal"/>
        <w:lvlRestart w:val="0"/>
        <w:pStyle w:val="SectionNumberOnly"/>
        <w:suff w:val="nothing"/>
        <w:lvlText w:val="%2"/>
        <w:lvlJc w:val="left"/>
        <w:pPr>
          <w:ind w:left="0" w:firstLine="0"/>
        </w:pPr>
        <w:rPr>
          <w:rFonts w:hint="default"/>
        </w:rPr>
      </w:lvl>
    </w:lvlOverride>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0C"/>
    <w:rsid w:val="00051BA5"/>
    <w:rsid w:val="000601A3"/>
    <w:rsid w:val="00081248"/>
    <w:rsid w:val="000A5C1C"/>
    <w:rsid w:val="000B6E28"/>
    <w:rsid w:val="00102ABD"/>
    <w:rsid w:val="00105122"/>
    <w:rsid w:val="00112990"/>
    <w:rsid w:val="00113DDE"/>
    <w:rsid w:val="00166292"/>
    <w:rsid w:val="00170269"/>
    <w:rsid w:val="001756AD"/>
    <w:rsid w:val="00197724"/>
    <w:rsid w:val="001A276A"/>
    <w:rsid w:val="001C4DE0"/>
    <w:rsid w:val="001E6710"/>
    <w:rsid w:val="00203472"/>
    <w:rsid w:val="00210D49"/>
    <w:rsid w:val="002303AF"/>
    <w:rsid w:val="00240597"/>
    <w:rsid w:val="002461EF"/>
    <w:rsid w:val="00275E9F"/>
    <w:rsid w:val="00280E0E"/>
    <w:rsid w:val="00285598"/>
    <w:rsid w:val="00286C91"/>
    <w:rsid w:val="002A3AA4"/>
    <w:rsid w:val="002A4098"/>
    <w:rsid w:val="002E5797"/>
    <w:rsid w:val="00322EF7"/>
    <w:rsid w:val="003409B3"/>
    <w:rsid w:val="003415B3"/>
    <w:rsid w:val="003A4239"/>
    <w:rsid w:val="003C76F3"/>
    <w:rsid w:val="00403E68"/>
    <w:rsid w:val="00414ED9"/>
    <w:rsid w:val="004175EA"/>
    <w:rsid w:val="00422938"/>
    <w:rsid w:val="00443756"/>
    <w:rsid w:val="00471036"/>
    <w:rsid w:val="004822C6"/>
    <w:rsid w:val="00491FBD"/>
    <w:rsid w:val="004B4EDC"/>
    <w:rsid w:val="004D3BF5"/>
    <w:rsid w:val="004E46F3"/>
    <w:rsid w:val="004F0029"/>
    <w:rsid w:val="004F28C6"/>
    <w:rsid w:val="004F33BB"/>
    <w:rsid w:val="00534A99"/>
    <w:rsid w:val="00550D9E"/>
    <w:rsid w:val="00595EAB"/>
    <w:rsid w:val="005A415A"/>
    <w:rsid w:val="005E5851"/>
    <w:rsid w:val="00616B36"/>
    <w:rsid w:val="00622167"/>
    <w:rsid w:val="00626CE3"/>
    <w:rsid w:val="00632D2E"/>
    <w:rsid w:val="00637A33"/>
    <w:rsid w:val="0066712F"/>
    <w:rsid w:val="00686393"/>
    <w:rsid w:val="006A6D2F"/>
    <w:rsid w:val="006D5279"/>
    <w:rsid w:val="006D5434"/>
    <w:rsid w:val="006E56C6"/>
    <w:rsid w:val="007146F1"/>
    <w:rsid w:val="00722D9F"/>
    <w:rsid w:val="0073387E"/>
    <w:rsid w:val="00737639"/>
    <w:rsid w:val="00770998"/>
    <w:rsid w:val="007A7915"/>
    <w:rsid w:val="007F186B"/>
    <w:rsid w:val="00800D46"/>
    <w:rsid w:val="00810946"/>
    <w:rsid w:val="00836D19"/>
    <w:rsid w:val="008656A6"/>
    <w:rsid w:val="00872D21"/>
    <w:rsid w:val="00877E68"/>
    <w:rsid w:val="008B2950"/>
    <w:rsid w:val="008B7B06"/>
    <w:rsid w:val="008C2911"/>
    <w:rsid w:val="008E7160"/>
    <w:rsid w:val="009344EB"/>
    <w:rsid w:val="00952BDE"/>
    <w:rsid w:val="009736D3"/>
    <w:rsid w:val="00977863"/>
    <w:rsid w:val="009922FF"/>
    <w:rsid w:val="009A672F"/>
    <w:rsid w:val="009A720D"/>
    <w:rsid w:val="009C6F43"/>
    <w:rsid w:val="009E4106"/>
    <w:rsid w:val="009F7827"/>
    <w:rsid w:val="009F7F8B"/>
    <w:rsid w:val="00A1294E"/>
    <w:rsid w:val="00A1493F"/>
    <w:rsid w:val="00A21272"/>
    <w:rsid w:val="00A36D62"/>
    <w:rsid w:val="00A36FB7"/>
    <w:rsid w:val="00A5669E"/>
    <w:rsid w:val="00AA44FE"/>
    <w:rsid w:val="00AE1B50"/>
    <w:rsid w:val="00AF1F36"/>
    <w:rsid w:val="00B10B0C"/>
    <w:rsid w:val="00B27BA5"/>
    <w:rsid w:val="00B746A4"/>
    <w:rsid w:val="00B77246"/>
    <w:rsid w:val="00B8314A"/>
    <w:rsid w:val="00B93A62"/>
    <w:rsid w:val="00BF624A"/>
    <w:rsid w:val="00C10AC6"/>
    <w:rsid w:val="00C36B29"/>
    <w:rsid w:val="00C57F87"/>
    <w:rsid w:val="00C63735"/>
    <w:rsid w:val="00C650FE"/>
    <w:rsid w:val="00C917A5"/>
    <w:rsid w:val="00C92F58"/>
    <w:rsid w:val="00CC0099"/>
    <w:rsid w:val="00CC0315"/>
    <w:rsid w:val="00CE4AFC"/>
    <w:rsid w:val="00D23D7B"/>
    <w:rsid w:val="00D92496"/>
    <w:rsid w:val="00DE13AA"/>
    <w:rsid w:val="00DF0FC1"/>
    <w:rsid w:val="00DF30B1"/>
    <w:rsid w:val="00DF62C9"/>
    <w:rsid w:val="00E21284"/>
    <w:rsid w:val="00E21E39"/>
    <w:rsid w:val="00E27737"/>
    <w:rsid w:val="00E30B92"/>
    <w:rsid w:val="00E4796D"/>
    <w:rsid w:val="00E60856"/>
    <w:rsid w:val="00E6286B"/>
    <w:rsid w:val="00E82370"/>
    <w:rsid w:val="00EC3173"/>
    <w:rsid w:val="00ED29A7"/>
    <w:rsid w:val="00EE1807"/>
    <w:rsid w:val="00EE18C6"/>
    <w:rsid w:val="00F217EA"/>
    <w:rsid w:val="00F3252F"/>
    <w:rsid w:val="00F32ED5"/>
    <w:rsid w:val="00F47D88"/>
    <w:rsid w:val="00F9655C"/>
    <w:rsid w:val="00FA29F5"/>
    <w:rsid w:val="00FA5725"/>
    <w:rsid w:val="00FB15EB"/>
    <w:rsid w:val="00FB64A3"/>
    <w:rsid w:val="00FC5E81"/>
    <w:rsid w:val="00FF4F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A2DC"/>
  <w15:chartTrackingRefBased/>
  <w15:docId w15:val="{6C2CA6CD-F7A2-8F4C-8F31-24706859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Body CS)"/>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qFormat="1"/>
    <w:lsdException w:name="heading 7" w:semiHidden="1" w:qFormat="1"/>
    <w:lsdException w:name="heading 8" w:semiHidden="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B0C"/>
    <w:pPr>
      <w:spacing w:after="0" w:line="480" w:lineRule="auto"/>
      <w:jc w:val="both"/>
    </w:pPr>
  </w:style>
  <w:style w:type="paragraph" w:styleId="Heading1">
    <w:name w:val="heading 1"/>
    <w:basedOn w:val="Normal"/>
    <w:next w:val="BodyText"/>
    <w:link w:val="Heading1Char"/>
    <w:uiPriority w:val="1"/>
    <w:qFormat/>
    <w:rsid w:val="00B77246"/>
    <w:pPr>
      <w:keepNext/>
      <w:keepLines/>
      <w:outlineLvl w:val="0"/>
    </w:pPr>
    <w:rPr>
      <w:rFonts w:asciiTheme="majorHAnsi" w:eastAsiaTheme="majorEastAsia" w:hAnsiTheme="majorHAnsi" w:cstheme="majorBidi"/>
      <w:b/>
      <w:sz w:val="28"/>
      <w:szCs w:val="32"/>
    </w:rPr>
  </w:style>
  <w:style w:type="paragraph" w:styleId="Heading2">
    <w:name w:val="heading 2"/>
    <w:basedOn w:val="Normal"/>
    <w:next w:val="BodyText"/>
    <w:link w:val="Heading2Char"/>
    <w:uiPriority w:val="1"/>
    <w:qFormat/>
    <w:rsid w:val="00B77246"/>
    <w:pPr>
      <w:keepNext/>
      <w:keepLines/>
      <w:outlineLvl w:val="1"/>
    </w:pPr>
    <w:rPr>
      <w:rFonts w:asciiTheme="majorHAnsi" w:eastAsiaTheme="majorEastAsia" w:hAnsiTheme="majorHAnsi" w:cstheme="majorBidi"/>
      <w:b/>
      <w:szCs w:val="26"/>
    </w:rPr>
  </w:style>
  <w:style w:type="paragraph" w:styleId="Heading3">
    <w:name w:val="heading 3"/>
    <w:basedOn w:val="Normal"/>
    <w:next w:val="BodyText"/>
    <w:link w:val="Heading3Char"/>
    <w:uiPriority w:val="1"/>
    <w:qFormat/>
    <w:rsid w:val="004F33BB"/>
    <w:pPr>
      <w:keepNext/>
      <w:keepLines/>
      <w:spacing w:before="240" w:after="120"/>
      <w:outlineLvl w:val="2"/>
    </w:pPr>
    <w:rPr>
      <w:rFonts w:asciiTheme="majorHAnsi" w:eastAsiaTheme="majorEastAsia" w:hAnsiTheme="majorHAnsi" w:cstheme="majorBidi"/>
      <w:i/>
    </w:rPr>
  </w:style>
  <w:style w:type="paragraph" w:styleId="Heading4">
    <w:name w:val="heading 4"/>
    <w:basedOn w:val="Normal"/>
    <w:next w:val="BodyText"/>
    <w:link w:val="Heading4Char"/>
    <w:uiPriority w:val="1"/>
    <w:qFormat/>
    <w:rsid w:val="004F33BB"/>
    <w:pPr>
      <w:keepNext/>
      <w:keepLines/>
      <w:spacing w:before="240" w:after="120"/>
      <w:outlineLvl w:val="3"/>
    </w:pPr>
    <w:rPr>
      <w:rFonts w:asciiTheme="majorHAnsi" w:eastAsiaTheme="majorEastAsia" w:hAnsiTheme="majorHAnsi" w:cstheme="majorBidi"/>
      <w:b/>
      <w:iCs/>
      <w:sz w:val="20"/>
    </w:rPr>
  </w:style>
  <w:style w:type="paragraph" w:styleId="Heading5">
    <w:name w:val="heading 5"/>
    <w:basedOn w:val="Normal"/>
    <w:next w:val="BodyText"/>
    <w:link w:val="Heading5Char"/>
    <w:uiPriority w:val="1"/>
    <w:qFormat/>
    <w:rsid w:val="00DF0FC1"/>
    <w:pPr>
      <w:keepNext/>
      <w:keepLines/>
      <w:spacing w:before="240" w:after="120"/>
      <w:outlineLvl w:val="4"/>
    </w:pPr>
    <w:rPr>
      <w:rFonts w:asciiTheme="majorHAnsi" w:eastAsiaTheme="majorEastAsia" w:hAnsiTheme="majorHAnsi" w:cstheme="majorBidi"/>
      <w:i/>
      <w:color w:val="D9AC6D" w:themeColor="background2"/>
    </w:rPr>
  </w:style>
  <w:style w:type="paragraph" w:styleId="Heading9">
    <w:name w:val="heading 9"/>
    <w:aliases w:val="Appendix H11"/>
    <w:basedOn w:val="Normal"/>
    <w:next w:val="BodyText"/>
    <w:link w:val="Heading9Char"/>
    <w:uiPriority w:val="12"/>
    <w:semiHidden/>
    <w:qFormat/>
    <w:rsid w:val="00DF0FC1"/>
    <w:pPr>
      <w:pageBreakBefore/>
      <w:numPr>
        <w:numId w:val="7"/>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brHeading1">
    <w:name w:val="Nbr Heading 1"/>
    <w:basedOn w:val="Heading1"/>
    <w:next w:val="BodyText"/>
    <w:uiPriority w:val="1"/>
    <w:qFormat/>
    <w:rsid w:val="00DF0FC1"/>
    <w:pPr>
      <w:numPr>
        <w:numId w:val="3"/>
      </w:numPr>
    </w:pPr>
  </w:style>
  <w:style w:type="character" w:customStyle="1" w:styleId="Heading1Char">
    <w:name w:val="Heading 1 Char"/>
    <w:basedOn w:val="DefaultParagraphFont"/>
    <w:link w:val="Heading1"/>
    <w:uiPriority w:val="1"/>
    <w:rsid w:val="00B77246"/>
    <w:rPr>
      <w:rFonts w:asciiTheme="majorHAnsi" w:eastAsiaTheme="majorEastAsia" w:hAnsiTheme="majorHAnsi" w:cstheme="majorBidi"/>
      <w:b/>
      <w:sz w:val="28"/>
      <w:szCs w:val="32"/>
    </w:rPr>
  </w:style>
  <w:style w:type="paragraph" w:styleId="BodyText">
    <w:name w:val="Body Text"/>
    <w:basedOn w:val="Normal"/>
    <w:link w:val="BodyTextChar"/>
    <w:qFormat/>
    <w:rsid w:val="001C4DE0"/>
  </w:style>
  <w:style w:type="character" w:customStyle="1" w:styleId="BodyTextChar">
    <w:name w:val="Body Text Char"/>
    <w:basedOn w:val="DefaultParagraphFont"/>
    <w:link w:val="BodyText"/>
    <w:rsid w:val="001C4DE0"/>
  </w:style>
  <w:style w:type="paragraph" w:customStyle="1" w:styleId="NbrHeading2">
    <w:name w:val="Nbr Heading 2"/>
    <w:basedOn w:val="Heading2"/>
    <w:next w:val="BodyText"/>
    <w:uiPriority w:val="1"/>
    <w:qFormat/>
    <w:rsid w:val="00DF0FC1"/>
    <w:pPr>
      <w:numPr>
        <w:ilvl w:val="1"/>
        <w:numId w:val="3"/>
      </w:numPr>
    </w:pPr>
  </w:style>
  <w:style w:type="character" w:customStyle="1" w:styleId="Heading2Char">
    <w:name w:val="Heading 2 Char"/>
    <w:basedOn w:val="DefaultParagraphFont"/>
    <w:link w:val="Heading2"/>
    <w:uiPriority w:val="1"/>
    <w:rsid w:val="00B77246"/>
    <w:rPr>
      <w:rFonts w:asciiTheme="majorHAnsi" w:eastAsiaTheme="majorEastAsia" w:hAnsiTheme="majorHAnsi" w:cstheme="majorBidi"/>
      <w:b/>
      <w:szCs w:val="26"/>
    </w:rPr>
  </w:style>
  <w:style w:type="paragraph" w:customStyle="1" w:styleId="NbrHeading3">
    <w:name w:val="Nbr Heading 3"/>
    <w:basedOn w:val="Heading3"/>
    <w:next w:val="BodyText"/>
    <w:uiPriority w:val="1"/>
    <w:qFormat/>
    <w:rsid w:val="00DF0FC1"/>
    <w:pPr>
      <w:numPr>
        <w:ilvl w:val="2"/>
        <w:numId w:val="3"/>
      </w:numPr>
    </w:pPr>
  </w:style>
  <w:style w:type="character" w:customStyle="1" w:styleId="Heading3Char">
    <w:name w:val="Heading 3 Char"/>
    <w:basedOn w:val="DefaultParagraphFont"/>
    <w:link w:val="Heading3"/>
    <w:uiPriority w:val="1"/>
    <w:rsid w:val="004F33BB"/>
    <w:rPr>
      <w:rFonts w:asciiTheme="majorHAnsi" w:eastAsiaTheme="majorEastAsia" w:hAnsiTheme="majorHAnsi" w:cstheme="majorBidi"/>
      <w:i/>
    </w:rPr>
  </w:style>
  <w:style w:type="paragraph" w:customStyle="1" w:styleId="NbrHeading4">
    <w:name w:val="Nbr Heading 4"/>
    <w:basedOn w:val="Heading4"/>
    <w:next w:val="BodyText"/>
    <w:uiPriority w:val="1"/>
    <w:qFormat/>
    <w:rsid w:val="00DF0FC1"/>
    <w:pPr>
      <w:numPr>
        <w:ilvl w:val="3"/>
        <w:numId w:val="3"/>
      </w:numPr>
    </w:pPr>
  </w:style>
  <w:style w:type="character" w:customStyle="1" w:styleId="Heading4Char">
    <w:name w:val="Heading 4 Char"/>
    <w:basedOn w:val="DefaultParagraphFont"/>
    <w:link w:val="Heading4"/>
    <w:uiPriority w:val="1"/>
    <w:rsid w:val="004F33BB"/>
    <w:rPr>
      <w:rFonts w:asciiTheme="majorHAnsi" w:eastAsiaTheme="majorEastAsia" w:hAnsiTheme="majorHAnsi" w:cstheme="majorBidi"/>
      <w:b/>
      <w:iCs/>
      <w:sz w:val="20"/>
    </w:rPr>
  </w:style>
  <w:style w:type="paragraph" w:customStyle="1" w:styleId="NbrHeading5">
    <w:name w:val="Nbr Heading 5"/>
    <w:basedOn w:val="Heading5"/>
    <w:next w:val="BodyText"/>
    <w:uiPriority w:val="1"/>
    <w:qFormat/>
    <w:rsid w:val="00DF0FC1"/>
    <w:pPr>
      <w:numPr>
        <w:ilvl w:val="4"/>
        <w:numId w:val="3"/>
      </w:numPr>
    </w:pPr>
  </w:style>
  <w:style w:type="character" w:customStyle="1" w:styleId="Heading5Char">
    <w:name w:val="Heading 5 Char"/>
    <w:basedOn w:val="DefaultParagraphFont"/>
    <w:link w:val="Heading5"/>
    <w:uiPriority w:val="1"/>
    <w:rsid w:val="00DF0FC1"/>
    <w:rPr>
      <w:rFonts w:asciiTheme="majorHAnsi" w:eastAsiaTheme="majorEastAsia" w:hAnsiTheme="majorHAnsi" w:cstheme="majorBidi"/>
      <w:i/>
      <w:color w:val="D9AC6D" w:themeColor="background2"/>
      <w:sz w:val="24"/>
    </w:rPr>
  </w:style>
  <w:style w:type="paragraph" w:customStyle="1" w:styleId="TableCaption">
    <w:name w:val="Table Caption"/>
    <w:basedOn w:val="BodyText"/>
    <w:next w:val="BodyText"/>
    <w:uiPriority w:val="6"/>
    <w:qFormat/>
    <w:rsid w:val="00DF0FC1"/>
    <w:pPr>
      <w:keepNext/>
      <w:tabs>
        <w:tab w:val="left" w:pos="1134"/>
      </w:tabs>
      <w:spacing w:before="240"/>
      <w:ind w:left="1134" w:hanging="1134"/>
    </w:pPr>
    <w:rPr>
      <w:i/>
      <w:color w:val="44546A" w:themeColor="text2"/>
    </w:rPr>
  </w:style>
  <w:style w:type="paragraph" w:customStyle="1" w:styleId="FigureStyle">
    <w:name w:val="Figure Style"/>
    <w:basedOn w:val="Normal"/>
    <w:next w:val="BodyText"/>
    <w:uiPriority w:val="6"/>
    <w:qFormat/>
    <w:rsid w:val="00DF0FC1"/>
    <w:pPr>
      <w:spacing w:before="120" w:after="240"/>
      <w:jc w:val="center"/>
    </w:pPr>
  </w:style>
  <w:style w:type="paragraph" w:customStyle="1" w:styleId="ListAlpha">
    <w:name w:val="List Alpha"/>
    <w:basedOn w:val="BodyText"/>
    <w:uiPriority w:val="2"/>
    <w:qFormat/>
    <w:rsid w:val="00DF0FC1"/>
    <w:pPr>
      <w:numPr>
        <w:numId w:val="4"/>
      </w:numPr>
    </w:pPr>
  </w:style>
  <w:style w:type="paragraph" w:customStyle="1" w:styleId="TableText">
    <w:name w:val="Table Text"/>
    <w:basedOn w:val="Normal"/>
    <w:uiPriority w:val="3"/>
    <w:qFormat/>
    <w:rsid w:val="00DF0FC1"/>
    <w:pPr>
      <w:spacing w:before="60" w:after="60"/>
      <w:ind w:left="113" w:right="113"/>
    </w:pPr>
  </w:style>
  <w:style w:type="paragraph" w:customStyle="1" w:styleId="TableHeading">
    <w:name w:val="Table Heading"/>
    <w:basedOn w:val="TableText"/>
    <w:uiPriority w:val="3"/>
    <w:qFormat/>
    <w:rsid w:val="00DF0FC1"/>
    <w:rPr>
      <w:b/>
    </w:rPr>
  </w:style>
  <w:style w:type="paragraph" w:customStyle="1" w:styleId="TableBullet">
    <w:name w:val="Table Bullet"/>
    <w:basedOn w:val="TableText"/>
    <w:uiPriority w:val="4"/>
    <w:qFormat/>
    <w:rsid w:val="00DF0FC1"/>
    <w:pPr>
      <w:numPr>
        <w:numId w:val="5"/>
      </w:numPr>
    </w:pPr>
  </w:style>
  <w:style w:type="paragraph" w:customStyle="1" w:styleId="TableNumber">
    <w:name w:val="Table Number"/>
    <w:basedOn w:val="TableText"/>
    <w:uiPriority w:val="4"/>
    <w:qFormat/>
    <w:rsid w:val="00DF0FC1"/>
    <w:pPr>
      <w:numPr>
        <w:numId w:val="6"/>
      </w:numPr>
    </w:pPr>
  </w:style>
  <w:style w:type="paragraph" w:customStyle="1" w:styleId="AppendixH2">
    <w:name w:val="Appendix H2"/>
    <w:basedOn w:val="Heading2"/>
    <w:next w:val="BodyText"/>
    <w:uiPriority w:val="14"/>
    <w:semiHidden/>
    <w:qFormat/>
    <w:rsid w:val="00DF0FC1"/>
    <w:pPr>
      <w:numPr>
        <w:ilvl w:val="1"/>
        <w:numId w:val="7"/>
      </w:numPr>
    </w:pPr>
  </w:style>
  <w:style w:type="paragraph" w:customStyle="1" w:styleId="AppendixH3">
    <w:name w:val="Appendix H3"/>
    <w:basedOn w:val="Heading3"/>
    <w:next w:val="BodyText"/>
    <w:uiPriority w:val="14"/>
    <w:semiHidden/>
    <w:qFormat/>
    <w:rsid w:val="00DF0FC1"/>
    <w:pPr>
      <w:numPr>
        <w:ilvl w:val="2"/>
        <w:numId w:val="7"/>
      </w:numPr>
    </w:pPr>
  </w:style>
  <w:style w:type="paragraph" w:customStyle="1" w:styleId="DividerTitle">
    <w:name w:val="Divider Title"/>
    <w:basedOn w:val="Normal"/>
    <w:uiPriority w:val="19"/>
    <w:semiHidden/>
    <w:qFormat/>
    <w:rsid w:val="00DF0FC1"/>
    <w:pPr>
      <w:spacing w:line="216" w:lineRule="auto"/>
    </w:pPr>
    <w:rPr>
      <w:color w:val="51247A" w:themeColor="accent1"/>
      <w:sz w:val="60"/>
    </w:rPr>
  </w:style>
  <w:style w:type="paragraph" w:customStyle="1" w:styleId="SectionTitleNumbered">
    <w:name w:val="Section Title Numbered"/>
    <w:basedOn w:val="Normal"/>
    <w:uiPriority w:val="19"/>
    <w:semiHidden/>
    <w:qFormat/>
    <w:rsid w:val="00DF0FC1"/>
    <w:pPr>
      <w:numPr>
        <w:numId w:val="8"/>
      </w:numPr>
      <w:spacing w:before="120"/>
    </w:pPr>
    <w:rPr>
      <w:color w:val="51247A" w:themeColor="accent1"/>
      <w:sz w:val="48"/>
    </w:rPr>
  </w:style>
  <w:style w:type="paragraph" w:customStyle="1" w:styleId="Sectiontext">
    <w:name w:val="Section text"/>
    <w:basedOn w:val="Normal"/>
    <w:uiPriority w:val="19"/>
    <w:semiHidden/>
    <w:qFormat/>
    <w:rsid w:val="00DF0FC1"/>
    <w:pPr>
      <w:spacing w:after="120" w:line="252" w:lineRule="auto"/>
      <w:ind w:right="7795"/>
    </w:pPr>
    <w:rPr>
      <w:sz w:val="18"/>
    </w:rPr>
  </w:style>
  <w:style w:type="paragraph" w:customStyle="1" w:styleId="DividerSectionTitle">
    <w:name w:val="Divider Section Title"/>
    <w:basedOn w:val="Normal"/>
    <w:uiPriority w:val="19"/>
    <w:semiHidden/>
    <w:qFormat/>
    <w:rsid w:val="00DF0FC1"/>
    <w:rPr>
      <w:b/>
      <w:color w:val="51247A" w:themeColor="accent1"/>
      <w:sz w:val="48"/>
    </w:rPr>
  </w:style>
  <w:style w:type="paragraph" w:customStyle="1" w:styleId="SectionNumberOnly">
    <w:name w:val="Section Number Only"/>
    <w:basedOn w:val="Normal"/>
    <w:uiPriority w:val="19"/>
    <w:semiHidden/>
    <w:qFormat/>
    <w:rsid w:val="00DF0FC1"/>
    <w:pPr>
      <w:numPr>
        <w:ilvl w:val="1"/>
        <w:numId w:val="8"/>
      </w:numPr>
      <w:spacing w:after="120"/>
    </w:pPr>
    <w:rPr>
      <w:color w:val="E62645" w:themeColor="accent2"/>
      <w:sz w:val="72"/>
    </w:rPr>
  </w:style>
  <w:style w:type="paragraph" w:customStyle="1" w:styleId="BackCoverDetails">
    <w:name w:val="Back Cover Details"/>
    <w:basedOn w:val="Normal"/>
    <w:uiPriority w:val="20"/>
    <w:semiHidden/>
    <w:qFormat/>
    <w:rsid w:val="00DF0FC1"/>
    <w:pPr>
      <w:numPr>
        <w:numId w:val="9"/>
      </w:numPr>
      <w:tabs>
        <w:tab w:val="left" w:pos="851"/>
      </w:tabs>
      <w:spacing w:before="240" w:after="240"/>
    </w:pPr>
    <w:rPr>
      <w:bCs/>
      <w:color w:val="FFFFFF" w:themeColor="background1"/>
    </w:rPr>
  </w:style>
  <w:style w:type="paragraph" w:customStyle="1" w:styleId="ReferenceText">
    <w:name w:val="Reference Text"/>
    <w:basedOn w:val="Normal"/>
    <w:uiPriority w:val="8"/>
    <w:qFormat/>
    <w:rsid w:val="00DF0FC1"/>
    <w:pPr>
      <w:spacing w:before="120" w:after="120" w:line="264" w:lineRule="auto"/>
      <w:ind w:left="425" w:hanging="425"/>
    </w:pPr>
    <w:rPr>
      <w:lang w:eastAsia="en-AU"/>
    </w:rPr>
  </w:style>
  <w:style w:type="paragraph" w:customStyle="1" w:styleId="Entity">
    <w:name w:val="Entity"/>
    <w:basedOn w:val="Title"/>
    <w:uiPriority w:val="7"/>
    <w:qFormat/>
    <w:rsid w:val="00DF0FC1"/>
    <w:pPr>
      <w:spacing w:after="120" w:line="360" w:lineRule="auto"/>
      <w:ind w:left="6509"/>
      <w:contextualSpacing w:val="0"/>
    </w:pPr>
    <w:rPr>
      <w:b/>
      <w:color w:val="51247A" w:themeColor="accent1"/>
      <w:spacing w:val="0"/>
      <w:kern w:val="0"/>
      <w:sz w:val="19"/>
      <w:szCs w:val="19"/>
    </w:rPr>
  </w:style>
  <w:style w:type="paragraph" w:styleId="Title">
    <w:name w:val="Title"/>
    <w:basedOn w:val="Normal"/>
    <w:next w:val="Normal"/>
    <w:link w:val="TitleChar"/>
    <w:uiPriority w:val="10"/>
    <w:qFormat/>
    <w:rsid w:val="00DF0FC1"/>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DF0FC1"/>
    <w:rPr>
      <w:rFonts w:asciiTheme="majorHAnsi" w:eastAsiaTheme="majorEastAsia" w:hAnsiTheme="majorHAnsi" w:cstheme="majorBidi"/>
      <w:spacing w:val="-10"/>
      <w:kern w:val="28"/>
      <w:sz w:val="40"/>
      <w:szCs w:val="56"/>
    </w:rPr>
  </w:style>
  <w:style w:type="character" w:customStyle="1" w:styleId="Heading9Char">
    <w:name w:val="Heading 9 Char"/>
    <w:aliases w:val="Appendix H11 Char"/>
    <w:basedOn w:val="DefaultParagraphFont"/>
    <w:link w:val="Heading9"/>
    <w:uiPriority w:val="12"/>
    <w:semiHidden/>
    <w:rsid w:val="00DF0FC1"/>
    <w:rPr>
      <w:b/>
      <w:iCs/>
      <w:color w:val="51247A" w:themeColor="accent1"/>
      <w:sz w:val="64"/>
      <w:szCs w:val="21"/>
    </w:rPr>
  </w:style>
  <w:style w:type="paragraph" w:styleId="Caption">
    <w:name w:val="caption"/>
    <w:basedOn w:val="Normal"/>
    <w:next w:val="FigureStyle"/>
    <w:uiPriority w:val="6"/>
    <w:qFormat/>
    <w:rsid w:val="00DF0FC1"/>
    <w:pPr>
      <w:keepNext/>
      <w:tabs>
        <w:tab w:val="left" w:pos="1134"/>
      </w:tabs>
      <w:spacing w:before="240" w:after="120"/>
      <w:ind w:left="1134" w:hanging="1134"/>
    </w:pPr>
    <w:rPr>
      <w:i/>
      <w:iCs/>
      <w:color w:val="44546A" w:themeColor="text2"/>
      <w:szCs w:val="18"/>
    </w:rPr>
  </w:style>
  <w:style w:type="paragraph" w:styleId="ListBullet">
    <w:name w:val="List Bullet"/>
    <w:basedOn w:val="BodyText"/>
    <w:uiPriority w:val="2"/>
    <w:qFormat/>
    <w:rsid w:val="00DF0FC1"/>
    <w:pPr>
      <w:numPr>
        <w:numId w:val="1"/>
      </w:numPr>
    </w:pPr>
  </w:style>
  <w:style w:type="paragraph" w:styleId="ListNumber">
    <w:name w:val="List Number"/>
    <w:basedOn w:val="BodyText"/>
    <w:uiPriority w:val="2"/>
    <w:qFormat/>
    <w:rsid w:val="00DF0FC1"/>
    <w:pPr>
      <w:numPr>
        <w:numId w:val="2"/>
      </w:numPr>
    </w:pPr>
  </w:style>
  <w:style w:type="paragraph" w:styleId="ListParagraph">
    <w:name w:val="List Paragraph"/>
    <w:basedOn w:val="BodyText"/>
    <w:uiPriority w:val="2"/>
    <w:qFormat/>
    <w:rsid w:val="00DF0FC1"/>
    <w:pPr>
      <w:ind w:left="425"/>
    </w:pPr>
  </w:style>
  <w:style w:type="table" w:styleId="TableGrid">
    <w:name w:val="Table Grid"/>
    <w:basedOn w:val="TableNormal"/>
    <w:uiPriority w:val="39"/>
    <w:rsid w:val="006D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246"/>
    <w:pPr>
      <w:spacing w:before="100" w:beforeAutospacing="1" w:after="100" w:afterAutospacing="1" w:line="240" w:lineRule="auto"/>
      <w:jc w:val="left"/>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B77246"/>
    <w:rPr>
      <w:color w:val="0000FF"/>
      <w:u w:val="single"/>
    </w:rPr>
  </w:style>
  <w:style w:type="character" w:styleId="PlaceholderText">
    <w:name w:val="Placeholder Text"/>
    <w:basedOn w:val="DefaultParagraphFont"/>
    <w:uiPriority w:val="99"/>
    <w:semiHidden/>
    <w:rsid w:val="00CC0315"/>
    <w:rPr>
      <w:color w:val="808080"/>
    </w:rPr>
  </w:style>
  <w:style w:type="paragraph" w:styleId="BalloonText">
    <w:name w:val="Balloon Text"/>
    <w:basedOn w:val="Normal"/>
    <w:link w:val="BalloonTextChar"/>
    <w:uiPriority w:val="99"/>
    <w:semiHidden/>
    <w:unhideWhenUsed/>
    <w:rsid w:val="001C4D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4D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91100">
      <w:bodyDiv w:val="1"/>
      <w:marLeft w:val="0"/>
      <w:marRight w:val="0"/>
      <w:marTop w:val="0"/>
      <w:marBottom w:val="0"/>
      <w:divBdr>
        <w:top w:val="none" w:sz="0" w:space="0" w:color="auto"/>
        <w:left w:val="none" w:sz="0" w:space="0" w:color="auto"/>
        <w:bottom w:val="none" w:sz="0" w:space="0" w:color="auto"/>
        <w:right w:val="none" w:sz="0" w:space="0" w:color="auto"/>
      </w:divBdr>
    </w:div>
    <w:div w:id="350882378">
      <w:bodyDiv w:val="1"/>
      <w:marLeft w:val="0"/>
      <w:marRight w:val="0"/>
      <w:marTop w:val="0"/>
      <w:marBottom w:val="0"/>
      <w:divBdr>
        <w:top w:val="none" w:sz="0" w:space="0" w:color="auto"/>
        <w:left w:val="none" w:sz="0" w:space="0" w:color="auto"/>
        <w:bottom w:val="none" w:sz="0" w:space="0" w:color="auto"/>
        <w:right w:val="none" w:sz="0" w:space="0" w:color="auto"/>
      </w:divBdr>
    </w:div>
    <w:div w:id="696003125">
      <w:bodyDiv w:val="1"/>
      <w:marLeft w:val="0"/>
      <w:marRight w:val="0"/>
      <w:marTop w:val="0"/>
      <w:marBottom w:val="0"/>
      <w:divBdr>
        <w:top w:val="none" w:sz="0" w:space="0" w:color="auto"/>
        <w:left w:val="none" w:sz="0" w:space="0" w:color="auto"/>
        <w:bottom w:val="none" w:sz="0" w:space="0" w:color="auto"/>
        <w:right w:val="none" w:sz="0" w:space="0" w:color="auto"/>
      </w:divBdr>
    </w:div>
    <w:div w:id="1420758349">
      <w:bodyDiv w:val="1"/>
      <w:marLeft w:val="0"/>
      <w:marRight w:val="0"/>
      <w:marTop w:val="0"/>
      <w:marBottom w:val="0"/>
      <w:divBdr>
        <w:top w:val="none" w:sz="0" w:space="0" w:color="auto"/>
        <w:left w:val="none" w:sz="0" w:space="0" w:color="auto"/>
        <w:bottom w:val="none" w:sz="0" w:space="0" w:color="auto"/>
        <w:right w:val="none" w:sz="0" w:space="0" w:color="auto"/>
      </w:divBdr>
    </w:div>
    <w:div w:id="18762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ss.wilkinson@colorado.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D3DBD-8777-2A44-BAA0-53C20766A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Ross Wilkinson</dc:creator>
  <cp:keywords/>
  <dc:description/>
  <cp:lastModifiedBy>Mr Ross Wilkinson</cp:lastModifiedBy>
  <cp:revision>7</cp:revision>
  <dcterms:created xsi:type="dcterms:W3CDTF">2020-09-28T15:17:00Z</dcterms:created>
  <dcterms:modified xsi:type="dcterms:W3CDTF">2020-10-02T03:46:00Z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5c146827-16dd-3fb3-95c7-bed509907b42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