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</w:pPr>
      <w:r>
        <w:rPr>
          <w:rFonts w:ascii="Calibri" w:hAnsi="Calibri" w:eastAsia="Hiragino Sans GB"/>
          <w:b/>
          <w:color w:val="0F6B78"/>
          <w:sz w:val="30"/>
        </w:rPr>
        <w:t>SG</w:t>
      </w:r>
    </w:p>
    <w:p>
      <w:pPr>
        <w:pStyle w:val="Title"/>
        <w:spacing w:before="240" w:after="200"/>
      </w:pPr>
      <w:r>
        <w:rPr>
          <w:rFonts w:ascii="Calibri" w:hAnsi="Calibri" w:eastAsia="Hiragino Sans GB"/>
          <w:b/>
          <w:color w:val="17365D"/>
          <w:sz w:val="60"/>
        </w:rPr>
        <w:t>AI 驱动的 A 股研究工作台</w:t>
      </w:r>
    </w:p>
    <w:p>
      <w:pPr>
        <w:pStyle w:val="Subtitle"/>
      </w:pPr>
      <w:r>
        <w:rPr>
          <w:rFonts w:ascii="Calibri" w:hAnsi="Calibri" w:eastAsia="Hiragino Sans GB"/>
          <w:b w:val="0"/>
          <w:color w:val="596979"/>
          <w:sz w:val="28"/>
        </w:rPr>
        <w:t>面向 AI 产品经理岗位的项目作品说明书</w:t>
      </w:r>
    </w:p>
    <w:p>
      <w:pPr>
        <w:spacing w:before="280"/>
        <w:pBdr>
          <w:left w:val="single" w:sz="32" w:space="10" w:color="0F6B78"/>
        </w:pBdr>
      </w:pPr>
      <w:r>
        <w:rPr>
          <w:rFonts w:ascii="Calibri" w:hAnsi="Calibri" w:eastAsia="Hiragino Sans GB"/>
          <w:b/>
          <w:color w:val="253341"/>
          <w:sz w:val="26"/>
        </w:rPr>
        <w:t>把“基本面不错、估值偏低、风险可控、发展空间充分”</w:t>
        <w:br/>
        <w:t>拆成可解释、可降级、可复盘的产品与数据规则。</w:t>
      </w:r>
    </w:p>
    <w:p>
      <w:pPr>
        <w:spacing w:before="12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作品类型</w:t>
            </w:r>
          </w:p>
        </w:tc>
        <w:tc>
          <w:tcPr>
            <w:tcW w:type="dxa" w:w="44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核心交付</w:t>
            </w:r>
          </w:p>
        </w:tc>
        <w:tc>
          <w:tcPr>
            <w:tcW w:type="dxa" w:w="29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公开地址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独立 AI 产品项目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基本面榜 + 技术榜 + 新闻 + 日报 + 联网问答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github.com/ross912/SG</w:t>
            </w:r>
          </w:p>
        </w:tc>
      </w:tr>
    </w:tbl>
    <w:p>
      <w:pPr>
        <w:spacing w:after="20"/>
      </w:pPr>
    </w:p>
    <w:p>
      <w:pPr>
        <w:spacing w:before="100" w:after="160"/>
        <w:ind w:left="259" w:right="115"/>
        <w:shd w:fill="F4F7FA"/>
        <w:pBdr>
          <w:left w:val="single" w:sz="24" w:space="8" w:color="0F6B78"/>
        </w:pBdr>
      </w:pPr>
      <w:r>
        <w:rPr>
          <w:rFonts w:ascii="Calibri" w:hAnsi="Calibri" w:eastAsia="Hiragino Sans GB"/>
          <w:b/>
          <w:color w:val="0F6B78"/>
          <w:sz w:val="21"/>
        </w:rPr>
        <w:t xml:space="preserve">阅读建议  </w:t>
      </w:r>
      <w:r>
        <w:rPr>
          <w:rFonts w:ascii="Calibri" w:hAnsi="Calibri" w:eastAsia="Hiragino Sans GB"/>
          <w:b w:val="0"/>
          <w:color w:val="253341"/>
          <w:sz w:val="21"/>
        </w:rPr>
        <w:t>面试官可先阅读第 1、4、8、11 节，约 6 分钟完成核心判断。</w:t>
      </w:r>
    </w:p>
    <w:p>
      <w:pPr>
        <w:spacing w:before="640"/>
      </w:pPr>
      <w:r>
        <w:rPr>
          <w:rFonts w:ascii="Calibri" w:hAnsi="Calibri" w:eastAsia="Hiragino Sans GB"/>
          <w:b w:val="0"/>
          <w:color w:val="596979"/>
          <w:sz w:val="18"/>
        </w:rPr>
        <w:t>版本：2026-08-03  ·  公开脱敏版  ·  仅用于研究与作品展示</w:t>
      </w:r>
    </w:p>
    <w:p>
      <w:pPr>
        <w:pStyle w:val="Heading1"/>
        <w:pageBreakBefore/>
      </w:pPr>
      <w:r>
        <w:t>1. 执行摘要</w:t>
      </w:r>
    </w:p>
    <w:p>
      <w:pPr>
        <w:spacing w:before="100" w:after="160"/>
        <w:ind w:left="259" w:right="115"/>
        <w:shd w:fill="E8EEF5"/>
        <w:pBdr>
          <w:left w:val="single" w:sz="24" w:space="8" w:color="1F4E79"/>
        </w:pBdr>
      </w:pPr>
      <w:r>
        <w:rPr>
          <w:rFonts w:ascii="Calibri" w:hAnsi="Calibri" w:eastAsia="Hiragino Sans GB"/>
          <w:b/>
          <w:color w:val="1F4E79"/>
          <w:sz w:val="21"/>
        </w:rPr>
        <w:t xml:space="preserve">一句话定位  </w:t>
      </w:r>
      <w:r>
        <w:rPr>
          <w:rFonts w:ascii="Calibri" w:hAnsi="Calibri" w:eastAsia="Hiragino Sans GB"/>
          <w:b w:val="0"/>
          <w:color w:val="253341"/>
          <w:sz w:val="21"/>
        </w:rPr>
        <w:t>SG 是一个把企业基本面研究、市场数据、财经资讯和大模型解释能力收敛到每日工作流中的 A 股研究工作台。</w:t>
      </w:r>
    </w:p>
    <w:p>
      <w:r>
        <w:rPr>
          <w:rFonts w:ascii="Calibri" w:hAnsi="Calibri" w:eastAsia="Hiragino Sans GB"/>
        </w:rPr>
        <w:t>项目不让大模型直接“预测股票”，而是把模糊判断拆成数据口径、评分规则、置信度、降级路径和可见进度。它展示的不只是功能页面，也展示 AI 产品经理如何约束模型、处理不确定性并决定何时不发布。</w:t>
      </w:r>
    </w:p>
    <w:p>
      <w:pPr>
        <w:pStyle w:val="Heading2"/>
      </w:pPr>
      <w:r>
        <w:t>核心价值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用户问题</w:t>
            </w:r>
          </w:p>
        </w:tc>
        <w:tc>
          <w:tcPr>
            <w:tcW w:type="dxa" w:w="51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产品决策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研究信息分散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一次流程生成基本面榜、四份技术榜、市场状态、新闻和日报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减少跨工具切换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“发展空间”过于主观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限定为行业景气、财报收入份额、业绩预告、机构预测等证据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结论可追溯并显示置信度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外部 API 不稳定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Tavily/RSS/本地数据与 DeepSeek 分层降级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增强功能失败不拖垮核心榜单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长任务像黑箱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阶段、百分比、当前动作、警告和最终状态统一展示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用户知道系统在做什么</w:t>
            </w:r>
          </w:p>
        </w:tc>
      </w:tr>
    </w:tbl>
    <w:p>
      <w:pPr>
        <w:spacing w:after="20"/>
      </w:pPr>
    </w:p>
    <w:p>
      <w:pPr>
        <w:pStyle w:val="Heading2"/>
      </w:pPr>
      <w:r>
        <w:t>本轮关键迭代</w:t>
      </w:r>
    </w:p>
    <w:p>
      <w:pPr>
        <w:pStyle w:val="ListBullet"/>
      </w:pPr>
      <w:r>
        <w:rPr>
          <w:rFonts w:ascii="Calibri" w:hAnsi="Calibri" w:eastAsia="Hiragino Sans GB"/>
        </w:rPr>
        <w:t>新增基本面价值 Top 30，并排在所有技术榜单之前。</w:t>
      </w:r>
    </w:p>
    <w:p>
      <w:pPr>
        <w:pStyle w:val="ListBullet"/>
      </w:pPr>
      <w:r>
        <w:rPr>
          <w:rFonts w:ascii="Calibri" w:hAnsi="Calibri" w:eastAsia="Hiragino Sans GB"/>
        </w:rPr>
        <w:t>将未来空间从历史成长中拆出，独立为 20 分维度，并设置关键数据门禁。</w:t>
      </w:r>
    </w:p>
    <w:p>
      <w:pPr>
        <w:pStyle w:val="ListBullet"/>
      </w:pPr>
      <w:r>
        <w:rPr>
          <w:rFonts w:ascii="Calibri" w:hAnsi="Calibri" w:eastAsia="Hiragino Sans GB"/>
        </w:rPr>
        <w:t>高暴雷风险股票硬剔除；低风险也必须展示“不等于无风险”。</w:t>
      </w:r>
    </w:p>
    <w:p>
      <w:pPr>
        <w:pStyle w:val="ListBullet"/>
      </w:pPr>
      <w:r>
        <w:rPr>
          <w:rFonts w:ascii="Calibri" w:hAnsi="Calibri" w:eastAsia="Hiragino Sans GB"/>
        </w:rPr>
        <w:t>公开代码、产品文档、测试和失败实验，真实密钥与全量行情不公开。</w:t>
      </w:r>
    </w:p>
    <w:p>
      <w:pPr>
        <w:pStyle w:val="Heading1"/>
        <w:pageBreakBefore/>
      </w:pPr>
      <w:r>
        <w:t>2. 用户、场景与产品边界</w:t>
      </w:r>
    </w:p>
    <w:p>
      <w:pPr>
        <w:pStyle w:val="Heading2"/>
      </w:pPr>
      <w:r>
        <w:t>目标用户</w:t>
      </w:r>
    </w:p>
    <w:p>
      <w:r>
        <w:rPr>
          <w:rFonts w:ascii="Calibri" w:hAnsi="Calibri" w:eastAsia="Hiragino Sans GB"/>
        </w:rPr>
        <w:t>有基础市场知识、关注企业质量和估值、需要自主研究的个人投资者或投研学习者。产品不是面向高频交易员，也不替代券商交易终端。</w:t>
      </w:r>
    </w:p>
    <w:p>
      <w:pPr>
        <w:pStyle w:val="Heading2"/>
      </w:pPr>
      <w:r>
        <w:t>收盘后的核心任务</w:t>
      </w:r>
    </w:p>
    <w:p>
      <w:pPr>
        <w:pStyle w:val="ListNumber"/>
      </w:pPr>
      <w:r>
        <w:rPr>
          <w:rFonts w:ascii="Calibri" w:hAnsi="Calibri" w:eastAsia="Hiragino Sans GB"/>
        </w:rPr>
        <w:t>确认当日行情、指数和市场宽度是否完整；</w:t>
      </w:r>
    </w:p>
    <w:p>
      <w:pPr>
        <w:pStyle w:val="ListNumber"/>
      </w:pPr>
      <w:r>
        <w:rPr>
          <w:rFonts w:ascii="Calibri" w:hAnsi="Calibri" w:eastAsia="Hiragino Sans GB"/>
        </w:rPr>
        <w:t>先查看经营质量、估值、风险和未来空间共同满足门槛的基本面候选；</w:t>
      </w:r>
    </w:p>
    <w:p>
      <w:pPr>
        <w:pStyle w:val="ListNumber"/>
      </w:pPr>
      <w:r>
        <w:rPr>
          <w:rFonts w:ascii="Calibri" w:hAnsi="Calibri" w:eastAsia="Hiragino Sans GB"/>
        </w:rPr>
        <w:t>再用趋势与均值回归榜单观察独立的价格行为视角；</w:t>
      </w:r>
    </w:p>
    <w:p>
      <w:pPr>
        <w:pStyle w:val="ListNumber"/>
      </w:pPr>
      <w:r>
        <w:rPr>
          <w:rFonts w:ascii="Calibri" w:hAnsi="Calibri" w:eastAsia="Hiragino Sans GB"/>
        </w:rPr>
        <w:t>理解当天新闻、市场结构和潜在影响；</w:t>
      </w:r>
    </w:p>
    <w:p>
      <w:pPr>
        <w:pStyle w:val="ListNumber"/>
      </w:pPr>
      <w:r>
        <w:rPr>
          <w:rFonts w:ascii="Calibri" w:hAnsi="Calibri" w:eastAsia="Hiragino Sans GB"/>
        </w:rPr>
        <w:t>对个股或事件继续追问，并知道答案引用了什么数据。</w:t>
      </w:r>
    </w:p>
    <w:p>
      <w:pPr>
        <w:pStyle w:val="Heading2"/>
      </w:pPr>
      <w:r>
        <w:t>明确不做</w:t>
      </w:r>
    </w:p>
    <w:p>
      <w:pPr>
        <w:pStyle w:val="ListBullet"/>
      </w:pPr>
      <w:r>
        <w:rPr>
          <w:rFonts w:ascii="Calibri" w:hAnsi="Calibri" w:eastAsia="Hiragino Sans GB"/>
        </w:rPr>
        <w:t>不下单、不连接券商账户、不提供收益承诺。</w:t>
      </w:r>
    </w:p>
    <w:p>
      <w:pPr>
        <w:pStyle w:val="ListBullet"/>
      </w:pPr>
      <w:r>
        <w:rPr>
          <w:rFonts w:ascii="Calibri" w:hAnsi="Calibri" w:eastAsia="Hiragino Sans GB"/>
        </w:rPr>
        <w:t>不把新闻标题扩写成未经证实的正文事实。</w:t>
      </w:r>
    </w:p>
    <w:p>
      <w:pPr>
        <w:pStyle w:val="ListBullet"/>
      </w:pPr>
      <w:r>
        <w:rPr>
          <w:rFonts w:ascii="Calibri" w:hAnsi="Calibri" w:eastAsia="Hiragino Sans GB"/>
        </w:rPr>
        <w:t>不把低估值自动等同于价值，不把低风险描述成无风险。</w:t>
      </w:r>
    </w:p>
    <w:p>
      <w:pPr>
        <w:pStyle w:val="ListBullet"/>
      </w:pPr>
      <w:r>
        <w:rPr>
          <w:rFonts w:ascii="Calibri" w:hAnsi="Calibri" w:eastAsia="Hiragino Sans GB"/>
        </w:rPr>
        <w:t>不把回测结果包装成实盘业绩。</w:t>
      </w:r>
    </w:p>
    <w:p>
      <w:pPr>
        <w:spacing w:before="100" w:after="160"/>
        <w:ind w:left="259" w:right="115"/>
        <w:shd w:fill="FFF3E8"/>
        <w:pBdr>
          <w:left w:val="single" w:sz="24" w:space="8" w:color="A33A31"/>
        </w:pBdr>
      </w:pPr>
      <w:r>
        <w:rPr>
          <w:rFonts w:ascii="Calibri" w:hAnsi="Calibri" w:eastAsia="Hiragino Sans GB"/>
          <w:b/>
          <w:color w:val="A33A31"/>
          <w:sz w:val="21"/>
        </w:rPr>
        <w:t xml:space="preserve">产品边界  </w:t>
      </w:r>
      <w:r>
        <w:rPr>
          <w:rFonts w:ascii="Calibri" w:hAnsi="Calibri" w:eastAsia="Hiragino Sans GB"/>
          <w:b w:val="0"/>
          <w:color w:val="253341"/>
          <w:sz w:val="21"/>
        </w:rPr>
        <w:t>SG 的输出是研究候选和证据组织，不是个性化投资建议。</w:t>
      </w:r>
    </w:p>
    <w:p>
      <w:pPr>
        <w:pStyle w:val="Heading1"/>
        <w:pageBreakBefore/>
      </w:pPr>
      <w:r>
        <w:t>3. 产品信息架构与每日工作流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527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27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五份榜单的关系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顺序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榜单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入选依据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角色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基本面价值 Top 30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财报、估值、前瞻证据、风险门禁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企业价值研究主入口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2–3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趋势：主板 Top 10 / 全市场 Top 30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量价、MA+ADX、RSRS、通道、12-1 动量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价格趋势观察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4–5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均值回归：主板 Top 10 / 全市场 Top 30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独立技术策略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价格偏离观察</w:t>
            </w:r>
          </w:p>
        </w:tc>
      </w:tr>
    </w:tbl>
    <w:p>
      <w:pPr>
        <w:spacing w:after="20"/>
      </w:pPr>
    </w:p>
    <w:p>
      <w:pPr>
        <w:spacing w:before="100" w:after="160"/>
        <w:ind w:left="259" w:right="115"/>
        <w:shd w:fill="E8EEF5"/>
        <w:pBdr>
          <w:left w:val="single" w:sz="24" w:space="8" w:color="1F4E79"/>
        </w:pBdr>
      </w:pPr>
      <w:r>
        <w:rPr>
          <w:rFonts w:ascii="Calibri" w:hAnsi="Calibri" w:eastAsia="Hiragino Sans GB"/>
          <w:b/>
          <w:color w:val="1F4E79"/>
          <w:sz w:val="21"/>
        </w:rPr>
        <w:t xml:space="preserve">重要区分  </w:t>
      </w:r>
      <w:r>
        <w:rPr>
          <w:rFonts w:ascii="Calibri" w:hAnsi="Calibri" w:eastAsia="Hiragino Sans GB"/>
          <w:b w:val="0"/>
          <w:color w:val="253341"/>
          <w:sz w:val="21"/>
        </w:rPr>
        <w:t>基本面榜不使用均线、动量或突破决定入选；技术榜不被包装成企业价值判断。</w:t>
      </w:r>
    </w:p>
    <w:p>
      <w:pPr>
        <w:pStyle w:val="Heading1"/>
        <w:pageBreakBefore/>
      </w:pPr>
      <w:r>
        <w:t>4. 基本面价值榜：从需求到规则</w:t>
      </w:r>
    </w:p>
    <w:p>
      <w:r>
        <w:rPr>
          <w:rFonts w:ascii="Calibri" w:hAnsi="Calibri" w:eastAsia="Hiragino Sans GB"/>
        </w:rPr>
        <w:t>原始需求是“基本面不错、当前估值偏低、暴雷风险很低、后续发展空间充分”。如果直接交给模型判断，标准会漂移且难以复现。产品化做法是把它拆成五个维度、四类企业模型和若干硬门禁。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权重</w:t>
            </w:r>
          </w:p>
        </w:tc>
        <w:tc>
          <w:tcPr>
            <w:tcW w:type="dxa" w:w="43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主要指标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为什么需要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质量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25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ROE、ROA、利润率、现金流含金量、负债结构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避免低价但经营差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估值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25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PE(TTM)、PB、PS(TTM)、股息率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在同行或同模型组比较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历史成长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15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营收、净利润、总资产同比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识别经营趋势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未来空间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20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行业景气、份额、预告、机构预测、文字证据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补足仅看历史的滞后性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风险控制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15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质押、杠杆、现金流背离、利润恶化、覆盖度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降低已知暴雷风险</w:t>
            </w:r>
          </w:p>
        </w:tc>
      </w:tr>
    </w:tbl>
    <w:p>
      <w:pPr>
        <w:spacing w:after="20"/>
      </w:pPr>
    </w:p>
    <w:p>
      <w:pPr>
        <w:pStyle w:val="Heading2"/>
      </w:pPr>
      <w:r>
        <w:t>四类企业模型</w:t>
      </w:r>
    </w:p>
    <w:p>
      <w:pPr>
        <w:pStyle w:val="ListBullet"/>
      </w:pPr>
      <w:r>
        <w:rPr>
          <w:rFonts w:ascii="Calibri" w:hAnsi="Calibri" w:eastAsia="Hiragino Sans GB"/>
        </w:rPr>
        <w:t>一般企业：使用标准质量、杠杆、成长和前瞻规则。</w:t>
      </w:r>
    </w:p>
    <w:p>
      <w:pPr>
        <w:pStyle w:val="ListBullet"/>
      </w:pPr>
      <w:r>
        <w:rPr>
          <w:rFonts w:ascii="Calibri" w:hAnsi="Calibri" w:eastAsia="Hiragino Sans GB"/>
        </w:rPr>
        <w:t>金融企业：不套用一般工业企业资产负债率门槛，研发与订单权重重分配。</w:t>
      </w:r>
    </w:p>
    <w:p>
      <w:pPr>
        <w:pStyle w:val="ListBullet"/>
      </w:pPr>
      <w:r>
        <w:rPr>
          <w:rFonts w:ascii="Calibri" w:hAnsi="Calibri" w:eastAsia="Hiragino Sans GB"/>
        </w:rPr>
        <w:t>房地产企业：允许更高但有限制的杠杆，保留项目/产能相关证据。</w:t>
      </w:r>
    </w:p>
    <w:p>
      <w:pPr>
        <w:pStyle w:val="ListBullet"/>
      </w:pPr>
      <w:r>
        <w:rPr>
          <w:rFonts w:ascii="Calibri" w:hAnsi="Calibri" w:eastAsia="Hiragino Sans GB"/>
        </w:rPr>
        <w:t>上市不足三年：因跨周期样本有限增加风险扣分。</w:t>
      </w:r>
    </w:p>
    <w:p>
      <w:pPr>
        <w:spacing w:before="100" w:after="160"/>
        <w:ind w:left="259" w:right="115"/>
        <w:shd w:fill="E8EEF5"/>
        <w:pBdr>
          <w:left w:val="single" w:sz="24" w:space="8" w:color="1F4E79"/>
        </w:pBdr>
      </w:pPr>
      <w:r>
        <w:rPr>
          <w:rFonts w:ascii="Calibri" w:hAnsi="Calibri" w:eastAsia="Hiragino Sans GB"/>
          <w:b/>
          <w:color w:val="1F4E79"/>
          <w:sz w:val="21"/>
        </w:rPr>
        <w:t xml:space="preserve">排序原则  </w:t>
      </w:r>
      <w:r>
        <w:rPr>
          <w:rFonts w:ascii="Calibri" w:hAnsi="Calibri" w:eastAsia="Hiragino Sans GB"/>
          <w:b w:val="0"/>
          <w:color w:val="253341"/>
          <w:sz w:val="21"/>
        </w:rPr>
        <w:t>先过硬门禁和最低分，再在行业或同模型组内做相对比较；样本不足时退回更大样本，避免单只股票自动获得高分。</w:t>
      </w:r>
    </w:p>
    <w:p>
      <w:pPr>
        <w:pStyle w:val="Heading1"/>
        <w:pageBreakBefore/>
      </w:pPr>
      <w:r>
        <w:t>5. “发展空间”如何评估</w:t>
      </w:r>
    </w:p>
    <w:p>
      <w:r>
        <w:rPr>
          <w:rFonts w:ascii="Calibri" w:hAnsi="Calibri" w:eastAsia="Hiragino Sans GB"/>
        </w:rPr>
        <w:t>发展空间不是大模型阅读新闻后的主观分，也不是承诺未来增长。它是一组公开、结构化、可核验的代理信号。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模块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数据口径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解释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行业财务景气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行业营收增速中位数 + 正增长公司占比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判断同行整体经营方向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财报滞后于真实经营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竞争地位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公司收入 / 同行业上市样本收入及同比变化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观察上市样本内相对份额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不是全社会市场份额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盈利预期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公司业绩预告 + 机构下一年度 EPS 预测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连接公司公开预期与外部研究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机构覆盖存在偏差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研发/订单/扩产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业绩预告原因中的明确文字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作为额外可验证证据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未提及不等于没有</w:t>
            </w:r>
          </w:p>
        </w:tc>
      </w:tr>
    </w:tbl>
    <w:p>
      <w:pPr>
        <w:spacing w:after="20"/>
      </w:pPr>
    </w:p>
    <w:p>
      <w:pPr>
        <w:pStyle w:val="Heading2"/>
      </w:pPr>
      <w:r>
        <w:t>置信度门禁</w:t>
      </w:r>
    </w:p>
    <w:p>
      <w:pPr>
        <w:pStyle w:val="ListBullet"/>
      </w:pPr>
      <w:r>
        <w:rPr>
          <w:rFonts w:ascii="Calibri" w:hAnsi="Calibri" w:eastAsia="Hiragino Sans GB"/>
        </w:rPr>
        <w:t>行业景气、财报收入份额、盈利预期是三个关键模块。</w:t>
      </w:r>
    </w:p>
    <w:p>
      <w:pPr>
        <w:pStyle w:val="ListBullet"/>
      </w:pPr>
      <w:r>
        <w:rPr>
          <w:rFonts w:ascii="Calibri" w:hAnsi="Calibri" w:eastAsia="Hiragino Sans GB"/>
        </w:rPr>
        <w:t>任一关键模块缺失，置信度为低，股票取消入榜资格。</w:t>
      </w:r>
    </w:p>
    <w:p>
      <w:pPr>
        <w:pStyle w:val="ListBullet"/>
      </w:pPr>
      <w:r>
        <w:rPr>
          <w:rFonts w:ascii="Calibri" w:hAnsi="Calibri" w:eastAsia="Hiragino Sans GB"/>
        </w:rPr>
        <w:t>研发、订单或扩产明确证据可将置信度从中提高到高，但一般行业不强制存在。</w:t>
      </w:r>
    </w:p>
    <w:p>
      <w:pPr>
        <w:pStyle w:val="ListBullet"/>
      </w:pPr>
      <w:r>
        <w:rPr>
          <w:rFonts w:ascii="Calibri" w:hAnsi="Calibri" w:eastAsia="Hiragino Sans GB"/>
        </w:rPr>
        <w:t>机构研报数量少时缩小预测影响，避免单一覆盖制造虚假确定性。</w:t>
      </w:r>
    </w:p>
    <w:p>
      <w:pPr>
        <w:spacing w:before="100" w:after="160"/>
        <w:ind w:left="259" w:right="115"/>
        <w:shd w:fill="FFF3E8"/>
        <w:pBdr>
          <w:left w:val="single" w:sz="24" w:space="8" w:color="A33A31"/>
        </w:pBdr>
      </w:pPr>
      <w:r>
        <w:rPr>
          <w:rFonts w:ascii="Calibri" w:hAnsi="Calibri" w:eastAsia="Hiragino Sans GB"/>
          <w:b/>
          <w:color w:val="A33A31"/>
          <w:sz w:val="21"/>
        </w:rPr>
        <w:t xml:space="preserve">客观评价  </w:t>
      </w:r>
      <w:r>
        <w:rPr>
          <w:rFonts w:ascii="Calibri" w:hAnsi="Calibri" w:eastAsia="Hiragino Sans GB"/>
          <w:b w:val="0"/>
          <w:color w:val="253341"/>
          <w:sz w:val="21"/>
        </w:rPr>
        <w:t>这套方法提高了可解释性，但仍是代理变量模型。没有可验证证据时，正确动作是降低置信度，而不是让模型补全叙事。</w:t>
      </w:r>
    </w:p>
    <w:p>
      <w:pPr>
        <w:pStyle w:val="Heading1"/>
        <w:pageBreakBefore/>
      </w:pPr>
      <w:r>
        <w:t>6. 暴雷风险：硬剔除与可见提示</w:t>
      </w:r>
    </w:p>
    <w:p>
      <w:pPr>
        <w:pStyle w:val="Heading2"/>
      </w:pPr>
      <w:r>
        <w:t>高风险硬剔除</w:t>
      </w:r>
    </w:p>
    <w:p>
      <w:pPr>
        <w:pStyle w:val="ListBullet"/>
      </w:pPr>
      <w:r>
        <w:rPr>
          <w:rFonts w:ascii="Calibri" w:hAnsi="Calibri" w:eastAsia="Hiragino Sans GB"/>
        </w:rPr>
        <w:t>净资产为负或最新报告期亏损；</w:t>
      </w:r>
    </w:p>
    <w:p>
      <w:pPr>
        <w:pStyle w:val="ListBullet"/>
      </w:pPr>
      <w:r>
        <w:rPr>
          <w:rFonts w:ascii="Calibri" w:hAnsi="Calibri" w:eastAsia="Hiragino Sans GB"/>
        </w:rPr>
        <w:t>异常营业收入；</w:t>
      </w:r>
    </w:p>
    <w:p>
      <w:pPr>
        <w:pStyle w:val="ListBullet"/>
      </w:pPr>
      <w:r>
        <w:rPr>
          <w:rFonts w:ascii="Calibri" w:hAnsi="Calibri" w:eastAsia="Hiragino Sans GB"/>
        </w:rPr>
        <w:t>一般企业资产负债率达到 85%，房地产达到 92%；</w:t>
      </w:r>
    </w:p>
    <w:p>
      <w:pPr>
        <w:pStyle w:val="ListBullet"/>
      </w:pPr>
      <w:r>
        <w:rPr>
          <w:rFonts w:ascii="Calibri" w:hAnsi="Calibri" w:eastAsia="Hiragino Sans GB"/>
        </w:rPr>
        <w:t>股权质押达到 50%；</w:t>
      </w:r>
    </w:p>
    <w:p>
      <w:pPr>
        <w:pStyle w:val="ListBullet"/>
      </w:pPr>
      <w:r>
        <w:rPr>
          <w:rFonts w:ascii="Calibri" w:hAnsi="Calibri" w:eastAsia="Hiragino Sans GB"/>
        </w:rPr>
        <w:t>利润同比暴跌且经营现金流为负；</w:t>
      </w:r>
    </w:p>
    <w:p>
      <w:pPr>
        <w:pStyle w:val="ListBullet"/>
      </w:pPr>
      <w:r>
        <w:rPr>
          <w:rFonts w:ascii="Calibri" w:hAnsi="Calibri" w:eastAsia="Hiragino Sans GB"/>
        </w:rPr>
        <w:t>最新公司业绩预告预计亏损；</w:t>
      </w:r>
    </w:p>
    <w:p>
      <w:pPr>
        <w:pStyle w:val="ListBullet"/>
      </w:pPr>
      <w:r>
        <w:rPr>
          <w:rFonts w:ascii="Calibri" w:hAnsi="Calibri" w:eastAsia="Hiragino Sans GB"/>
        </w:rPr>
        <w:t>风险控制分低于 6 分。</w:t>
      </w:r>
    </w:p>
    <w:p>
      <w:pPr>
        <w:pStyle w:val="Heading2"/>
      </w:pPr>
      <w:r>
        <w:t>为什么低风险仍要提示</w:t>
      </w:r>
    </w:p>
    <w:p>
      <w:r>
        <w:rPr>
          <w:rFonts w:ascii="Calibri" w:hAnsi="Calibri" w:eastAsia="Hiragino Sans GB"/>
        </w:rPr>
        <w:t>免费数据源无法稳定覆盖财务审计意见、监管调查、重大诉讼和尚未披露事件。平台只能说“当前已覆盖数据中未命中高风险门禁”，不能说“不会暴雷”。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展示字段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用户看到什么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产品目的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暴雷风险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低 / 中 / 高或直接剔除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避免只展示得分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风险提示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命中项、数据缺口和“低风险不等于无风险”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建立正确预期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前瞻置信度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中 / 高；低置信度不入榜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区分证据完整性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入选理由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质量、估值、成长、空间、风险的摘要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可解释而非黑箱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7. 数据管线、缓存与异常策略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数据</w:t>
            </w:r>
          </w:p>
        </w:tc>
        <w:tc>
          <w:tcPr>
            <w:tcW w:type="dxa" w:w="43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来源 / 频率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失败策略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财报与质押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AkShare 对应东方财富公开接口；默认缓存 7 天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覆盖不足时退回最近完整报告期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估值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Tushare daily_basic；每交易日刷新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依次降级东方财富或新浪；按可用指标重归一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前瞻证据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东方财富业绩预告与机构预测；默认缓存 1 天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失败则基本面榜降级，技术榜继续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个股与指数行情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增量补缺；15:35 后要求当日数据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异常股票剔除，流程带警告继续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新闻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公开财经源最近 24 小时，最多 50 条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单源失败不阻断其他模块</w:t>
            </w:r>
          </w:p>
        </w:tc>
      </w:tr>
    </w:tbl>
    <w:p>
      <w:pPr>
        <w:spacing w:after="20"/>
      </w:pPr>
    </w:p>
    <w:p>
      <w:pPr>
        <w:pStyle w:val="Heading2"/>
      </w:pPr>
      <w:r>
        <w:t>异常规则</w:t>
      </w:r>
    </w:p>
    <w:p>
      <w:pPr>
        <w:pStyle w:val="ListBullet"/>
      </w:pPr>
      <w:r>
        <w:rPr>
          <w:rFonts w:ascii="Calibri" w:hAnsi="Calibri" w:eastAsia="Hiragino Sans GB"/>
        </w:rPr>
        <w:t>数据日期不一致时永不静默混用；异常股票不进入当日榜单。</w:t>
      </w:r>
    </w:p>
    <w:p>
      <w:pPr>
        <w:pStyle w:val="ListBullet"/>
      </w:pPr>
      <w:r>
        <w:rPr>
          <w:rFonts w:ascii="Calibri" w:hAnsi="Calibri" w:eastAsia="Hiragino Sans GB"/>
        </w:rPr>
        <w:t>不足 10 只时列出代码、名称和实际日期；达到 10 只时只显示总数。</w:t>
      </w:r>
    </w:p>
    <w:p>
      <w:pPr>
        <w:pStyle w:val="ListBullet"/>
      </w:pPr>
      <w:r>
        <w:rPr>
          <w:rFonts w:ascii="Calibri" w:hAnsi="Calibri" w:eastAsia="Hiragino Sans GB"/>
        </w:rPr>
        <w:t>无论缺失数量多少，整批流程不终止，最终状态为“已完成（有警告）”。</w:t>
      </w:r>
    </w:p>
    <w:p>
      <w:pPr>
        <w:pStyle w:val="ListBullet"/>
      </w:pPr>
      <w:r>
        <w:rPr>
          <w:rFonts w:ascii="Calibri" w:hAnsi="Calibri" w:eastAsia="Hiragino Sans GB"/>
        </w:rPr>
        <w:t>基本面关键数据缺失与日线缺失不同：前者不生成伪正常的基本面榜，后者只排除异常股票。</w:t>
      </w:r>
    </w:p>
    <w:p>
      <w:pPr>
        <w:spacing w:before="100" w:after="160"/>
        <w:ind w:left="259" w:right="115"/>
        <w:shd w:fill="E8EEF5"/>
        <w:pBdr>
          <w:left w:val="single" w:sz="24" w:space="8" w:color="1F4E79"/>
        </w:pBdr>
      </w:pPr>
      <w:r>
        <w:rPr>
          <w:rFonts w:ascii="Calibri" w:hAnsi="Calibri" w:eastAsia="Hiragino Sans GB"/>
          <w:b/>
          <w:color w:val="1F4E79"/>
          <w:sz w:val="21"/>
        </w:rPr>
        <w:t xml:space="preserve">产品取舍  </w:t>
      </w:r>
      <w:r>
        <w:rPr>
          <w:rFonts w:ascii="Calibri" w:hAnsi="Calibri" w:eastAsia="Hiragino Sans GB"/>
          <w:b w:val="0"/>
          <w:color w:val="253341"/>
          <w:sz w:val="21"/>
        </w:rPr>
        <w:t>“不中断”不等于“忽略错误”。错误必须可见，且不能让旧数据进入新结果。</w:t>
      </w:r>
    </w:p>
    <w:p>
      <w:pPr>
        <w:pStyle w:val="Heading1"/>
        <w:pageBreakBefore/>
      </w:pPr>
      <w:r>
        <w:t>8. AI、联网搜索与交互设计</w:t>
      </w:r>
    </w:p>
    <w:p>
      <w:pPr>
        <w:pStyle w:val="Heading2"/>
      </w:pPr>
      <w:r>
        <w:t>当前搜索引擎</w:t>
      </w:r>
    </w:p>
    <w:p>
      <w:pPr>
        <w:spacing w:before="100" w:after="160"/>
        <w:ind w:left="259" w:right="115"/>
        <w:shd w:fill="E8EEF5"/>
        <w:pBdr>
          <w:left w:val="single" w:sz="24" w:space="8" w:color="1F4E79"/>
        </w:pBdr>
      </w:pPr>
      <w:r>
        <w:rPr>
          <w:rFonts w:ascii="Calibri" w:hAnsi="Calibri" w:eastAsia="Hiragino Sans GB"/>
          <w:b/>
          <w:color w:val="1F4E79"/>
          <w:sz w:val="21"/>
        </w:rPr>
        <w:t xml:space="preserve">主源  </w:t>
      </w:r>
      <w:r>
        <w:rPr>
          <w:rFonts w:ascii="Calibri" w:hAnsi="Calibri" w:eastAsia="Hiragino Sans GB"/>
          <w:b w:val="0"/>
          <w:color w:val="253341"/>
          <w:sz w:val="21"/>
        </w:rPr>
        <w:t>Tavily Search API。配置为 auto 时优先 Tavily；结果不足或失败时补 Google News RSS 与 Bing News RSS；全部失败则只使用本地数据。</w:t>
      </w:r>
    </w:p>
    <w:p>
      <w:r>
        <w:rPr>
          <w:rFonts w:ascii="Calibri" w:hAnsi="Calibri" w:eastAsia="Hiragino Sans GB"/>
        </w:rPr>
        <w:t>DeepSeek 负责每日总结和问答文本生成，不承担搜索。新闻页面直接展示原标题，不做二次标题总结。Agent Reach 是开发与调研工具，不在生产请求链路中。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环节</w:t>
            </w:r>
          </w:p>
        </w:tc>
        <w:tc>
          <w:tcPr>
            <w:tcW w:type="dxa" w:w="5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产品设计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用户感知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触发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智能触发 / 始终联网 / 仅本地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用户可控成本与时效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检索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Tavily 主源，RSS 兜底，统一结构去重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显示实际使用来源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上下文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本地行情、五榜单、日报、新闻 + 最新资讯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答案有日期与证据边界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生成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DeepSeek 流式接口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SSE 首字尽快出现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渲染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受控 Markdown 转安全 HTML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标题、列表、引用可读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失败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搜索退回本地；模型失败保留核心产物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明确显示降级，不伪装联网</w:t>
            </w:r>
          </w:p>
        </w:tc>
      </w:tr>
    </w:tbl>
    <w:p>
      <w:pPr>
        <w:spacing w:after="20"/>
      </w:pPr>
    </w:p>
    <w:p>
      <w:pPr>
        <w:pStyle w:val="Heading2"/>
      </w:pPr>
      <w:r>
        <w:t>安全与成本控制</w:t>
      </w:r>
    </w:p>
    <w:p>
      <w:pPr>
        <w:pStyle w:val="ListBullet"/>
      </w:pPr>
      <w:r>
        <w:rPr>
          <w:rFonts w:ascii="Calibri" w:hAnsi="Calibri" w:eastAsia="Hiragino Sans GB"/>
        </w:rPr>
        <w:t>密码登录、CSRF、会话限流、HTTP-only Cookie。</w:t>
      </w:r>
    </w:p>
    <w:p>
      <w:pPr>
        <w:pStyle w:val="ListBullet"/>
      </w:pPr>
      <w:r>
        <w:rPr>
          <w:rFonts w:ascii="Calibri" w:hAnsi="Calibri" w:eastAsia="Hiragino Sans GB"/>
        </w:rPr>
        <w:t>API Key 只从 .env 或服务器环境变量读取；搜索按意图触发并缓存结果。</w:t>
      </w:r>
    </w:p>
    <w:p>
      <w:pPr>
        <w:pStyle w:val="ListBullet"/>
      </w:pPr>
      <w:r>
        <w:rPr>
          <w:rFonts w:ascii="Calibri" w:hAnsi="Calibri" w:eastAsia="Hiragino Sans GB"/>
        </w:rPr>
        <w:t>外部标题、摘要和历史对话均视为不可信输入，禁止执行其中指令。</w:t>
      </w:r>
    </w:p>
    <w:p>
      <w:pPr>
        <w:pStyle w:val="Heading1"/>
        <w:pageBreakBefore/>
      </w:pPr>
      <w:r>
        <w:t>9. 前端体验与关键页面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51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1｜首页：市场状态、榜单和全市场进度（脱敏示意）</w:t>
      </w:r>
      <w:r>
        <w:rPr>
          <w:rFonts w:ascii="Calibri" w:hAnsi="Calibri" w:eastAsia="Hiragino Sans GB"/>
          <w:color w:val="596979"/>
          <w:sz w:val="17"/>
        </w:rPr>
      </w:r>
    </w:p>
    <w:p>
      <w:pPr>
        <w:pStyle w:val="Heading2"/>
      </w:pPr>
      <w:r>
        <w:t>交互重点</w:t>
      </w:r>
    </w:p>
    <w:p>
      <w:pPr>
        <w:pStyle w:val="ListBullet"/>
      </w:pPr>
      <w:r>
        <w:rPr>
          <w:rFonts w:ascii="Calibri" w:hAnsi="Calibri" w:eastAsia="Hiragino Sans GB"/>
        </w:rPr>
        <w:t>牛熊状态悬于所有模块上方；以上证为主，四指数细分状态小字展示。</w:t>
      </w:r>
    </w:p>
    <w:p>
      <w:pPr>
        <w:pStyle w:val="ListBullet"/>
      </w:pPr>
      <w:r>
        <w:rPr>
          <w:rFonts w:ascii="Calibri" w:hAnsi="Calibri" w:eastAsia="Hiragino Sans GB"/>
        </w:rPr>
        <w:t>全市场任务实时显示阶段、百分比、当前动作和警告。</w:t>
      </w:r>
    </w:p>
    <w:p>
      <w:pPr>
        <w:pStyle w:val="ListBullet"/>
      </w:pPr>
      <w:r>
        <w:rPr>
          <w:rFonts w:ascii="Calibri" w:hAnsi="Calibri" w:eastAsia="Hiragino Sans GB"/>
        </w:rPr>
        <w:t>基本面榜排在技术榜之前，显示五维得分、风险提示、置信度和入选理由。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6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6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2｜问答：联网模式、流式回答和来源区域（脱敏示意）</w:t>
      </w:r>
      <w:r>
        <w:rPr>
          <w:rFonts w:ascii="Calibri" w:hAnsi="Calibri" w:eastAsia="Hiragino Sans GB"/>
          <w:color w:val="596979"/>
          <w:sz w:val="17"/>
        </w:rPr>
      </w:r>
    </w:p>
    <w:p>
      <w:pPr>
        <w:pStyle w:val="Heading1"/>
        <w:pageBreakBefore/>
      </w:pPr>
      <w:r>
        <w:t>10. 验证证据与最新一次运行样本</w:t>
      </w:r>
    </w:p>
    <w:p>
      <w:pPr>
        <w:spacing w:before="100" w:after="160"/>
        <w:ind w:left="259" w:right="115"/>
        <w:shd w:fill="E8EEF5"/>
        <w:pBdr>
          <w:left w:val="single" w:sz="24" w:space="8" w:color="1F4E79"/>
        </w:pBdr>
      </w:pPr>
      <w:r>
        <w:rPr>
          <w:rFonts w:ascii="Calibri" w:hAnsi="Calibri" w:eastAsia="Hiragino Sans GB"/>
          <w:b/>
          <w:color w:val="1F4E79"/>
          <w:sz w:val="21"/>
        </w:rPr>
        <w:t xml:space="preserve">数据说明  </w:t>
      </w:r>
      <w:r>
        <w:rPr>
          <w:rFonts w:ascii="Calibri" w:hAnsi="Calibri" w:eastAsia="Hiragino Sans GB"/>
          <w:b w:val="0"/>
          <w:color w:val="253341"/>
          <w:sz w:val="21"/>
        </w:rPr>
        <w:t>以下数字来自 2026-07-28 本地研究环境，用于证明流程与门禁确实运行；不是策略收益或真实用户指标。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数值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输入股票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5,527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进入基本面评估的全市场样本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高风险剔除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1,300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命中硬风险规则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关键数据缺失剔除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2,146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前瞻关键模块不完整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综合门槛剔除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1,790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未达到质量、估值、成长、空间或总分门槛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最终合格 / 入选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291 / 30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先过门槛，再取 Top 30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前瞻覆盖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3,569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业绩预告 1,861；机构预测 2,362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自动化测试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73 项通过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覆盖基本面、前瞻、行情、AI 与流程回归</w:t>
            </w:r>
          </w:p>
        </w:tc>
      </w:tr>
    </w:tbl>
    <w:p>
      <w:pPr>
        <w:spacing w:after="20"/>
      </w:pPr>
    </w:p>
    <w:p>
      <w:pPr>
        <w:pStyle w:val="Heading2"/>
      </w:pPr>
      <w:r>
        <w:t>研究诚实性</w:t>
      </w:r>
    </w:p>
    <w:p>
      <w:pPr>
        <w:pStyle w:val="ListBullet"/>
      </w:pPr>
      <w:r>
        <w:rPr>
          <w:rFonts w:ascii="Calibri" w:hAnsi="Calibri" w:eastAsia="Hiragino Sans GB"/>
        </w:rPr>
        <w:t>趋势候选因子未通过训练/验证门禁，因此没有为了榜单变化而强行上线。</w:t>
      </w:r>
    </w:p>
    <w:p>
      <w:pPr>
        <w:pStyle w:val="ListBullet"/>
      </w:pPr>
      <w:r>
        <w:rPr>
          <w:rFonts w:ascii="Calibri" w:hAnsi="Calibri" w:eastAsia="Hiragino Sans GB"/>
        </w:rPr>
        <w:t>现有公开样本缺少历史退市股票和历史时点行业分类，存在幸存者偏差。</w:t>
      </w:r>
    </w:p>
    <w:p>
      <w:pPr>
        <w:pStyle w:val="ListBullet"/>
      </w:pPr>
      <w:r>
        <w:rPr>
          <w:rFonts w:ascii="Calibri" w:hAnsi="Calibri" w:eastAsia="Hiragino Sans GB"/>
        </w:rPr>
        <w:t>基本面历史回测还需要严格使用财报公告日，避免未来数据穿越。</w:t>
      </w:r>
    </w:p>
    <w:p>
      <w:pPr>
        <w:pStyle w:val="ListBullet"/>
      </w:pPr>
      <w:r>
        <w:rPr>
          <w:rFonts w:ascii="Calibri" w:hAnsi="Calibri" w:eastAsia="Hiragino Sans GB"/>
        </w:rPr>
        <w:t>估值源降级时指标可能减少，系统在可用指标内重归一并明确记录口径。</w:t>
      </w:r>
    </w:p>
    <w:p>
      <w:pPr>
        <w:pStyle w:val="Heading1"/>
        <w:pageBreakBefore/>
      </w:pPr>
      <w:r>
        <w:t>11. AI 产品经理能力映射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能力</w:t>
            </w:r>
          </w:p>
        </w:tc>
        <w:tc>
          <w:tcPr>
            <w:tcW w:type="dxa" w:w="53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项目中的具体行为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/>
                <w:color w:val="17365D"/>
                <w:sz w:val="19"/>
              </w:rPr>
              <w:t>面试证据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需求拆解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把“好公司、低估值、低风险、高空间”拆成五维评分与门禁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PRD、评分代码、页面字段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数据产品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定义日期、覆盖率、缓存、降级和行业比较口径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诊断 JSON、进度状态、测试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AI 设计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上下文分层、联网触发、来源展示、流式输出、提示注入防护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问答链路与 SSE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异常设计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局部错误不终止，但错误可见且脏数据不入榜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“已完成（有警告）”协议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评估决策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候选趋势因子验证失败后拒绝上线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公开失败实验与复盘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工程协作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脱敏发布、环境变量、回归测试、维护 README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Hiragino Sans GB"/>
                <w:b w:val="0"/>
                <w:color w:val="253341"/>
                <w:sz w:val="18"/>
              </w:rPr>
              <w:t>GitHub 公开仓库</w:t>
            </w:r>
          </w:p>
        </w:tc>
      </w:tr>
    </w:tbl>
    <w:p>
      <w:pPr>
        <w:spacing w:after="20"/>
      </w:pPr>
    </w:p>
    <w:p>
      <w:pPr>
        <w:pStyle w:val="Heading2"/>
      </w:pPr>
      <w:r>
        <w:t>60 秒面试口述</w:t>
      </w:r>
    </w:p>
    <w:p>
      <w:pPr>
        <w:spacing w:before="100" w:after="160"/>
        <w:ind w:left="259" w:right="115"/>
        <w:shd w:fill="E8EEF5"/>
        <w:pBdr>
          <w:left w:val="single" w:sz="24" w:space="8" w:color="1F4E79"/>
        </w:pBdr>
      </w:pPr>
      <w:r>
        <w:rPr>
          <w:rFonts w:ascii="Calibri" w:hAnsi="Calibri" w:eastAsia="Hiragino Sans GB"/>
          <w:b/>
          <w:color w:val="1F4E79"/>
          <w:sz w:val="21"/>
        </w:rPr>
        <w:t xml:space="preserve">建议话术  </w:t>
      </w:r>
      <w:r>
        <w:rPr>
          <w:rFonts w:ascii="Calibri" w:hAnsi="Calibri" w:eastAsia="Hiragino Sans GB"/>
          <w:b w:val="0"/>
          <w:color w:val="253341"/>
          <w:sz w:val="21"/>
        </w:rPr>
        <w:t>我做了一个 AI 驱动的 A 股研究工作台。关键不是让大模型预测涨跌，而是把基本面研究、估值、风险、前瞻证据、新闻和问答组织成可靠流程。我把“发展空间”限制为可追溯的行业景气、财报收入份额、业绩预告和机构预测；关键数据不完整就不入榜。模型只负责解释，搜索和模型失败都有降级路径。对未通过验证的趋势因子，我选择不发布并公开失败证据。这个项目完整覆盖了需求定义、数据口径、AI 交互、异常策略、安全、评估和迭代。</w:t>
      </w:r>
    </w:p>
    <w:p>
      <w:pPr>
        <w:pStyle w:val="Heading1"/>
        <w:pageBreakBefore/>
      </w:pPr>
      <w:r>
        <w:t>12. 演示脚本、已知问题与路线图</w:t>
      </w:r>
    </w:p>
    <w:p>
      <w:pPr>
        <w:pStyle w:val="Heading2"/>
      </w:pPr>
      <w:r>
        <w:t>5 分钟演示顺序</w:t>
      </w:r>
    </w:p>
    <w:p>
      <w:pPr>
        <w:pStyle w:val="ListNumber2"/>
      </w:pPr>
      <w:r>
        <w:rPr>
          <w:rFonts w:ascii="Calibri" w:hAnsi="Calibri" w:eastAsia="Hiragino Sans GB"/>
        </w:rPr>
        <w:t>0:00–0:30：说明用户问题与“不让模型预测股票”的边界。</w:t>
      </w:r>
    </w:p>
    <w:p>
      <w:pPr>
        <w:pStyle w:val="ListNumber2"/>
      </w:pPr>
      <w:r>
        <w:rPr>
          <w:rFonts w:ascii="Calibri" w:hAnsi="Calibri" w:eastAsia="Hiragino Sans GB"/>
        </w:rPr>
        <w:t>0:30–1:30：执行全市场流程，展示 15:35 口径、增量更新和可见进度。</w:t>
      </w:r>
    </w:p>
    <w:p>
      <w:pPr>
        <w:pStyle w:val="ListNumber2"/>
      </w:pPr>
      <w:r>
        <w:rPr>
          <w:rFonts w:ascii="Calibri" w:hAnsi="Calibri" w:eastAsia="Hiragino Sans GB"/>
        </w:rPr>
        <w:t>1:30–2:30：先讲基本面榜的五维评分、风险硬门禁和前瞻置信度，再切四份技术榜。</w:t>
      </w:r>
    </w:p>
    <w:p>
      <w:pPr>
        <w:pStyle w:val="ListNumber2"/>
      </w:pPr>
      <w:r>
        <w:rPr>
          <w:rFonts w:ascii="Calibri" w:hAnsi="Calibri" w:eastAsia="Hiragino Sans GB"/>
        </w:rPr>
        <w:t>2:30–3:10：展示新闻原标题与自动生成的结构化日报。</w:t>
      </w:r>
    </w:p>
    <w:p>
      <w:pPr>
        <w:pStyle w:val="ListNumber2"/>
      </w:pPr>
      <w:r>
        <w:rPr>
          <w:rFonts w:ascii="Calibri" w:hAnsi="Calibri" w:eastAsia="Hiragino Sans GB"/>
        </w:rPr>
        <w:t>3:10–4:20：用时效性问题触发 Tavily，观察 SSE 流式回答和来源；再演示仅本地模式。</w:t>
      </w:r>
    </w:p>
    <w:p>
      <w:pPr>
        <w:pStyle w:val="ListNumber2"/>
      </w:pPr>
      <w:r>
        <w:rPr>
          <w:rFonts w:ascii="Calibri" w:hAnsi="Calibri" w:eastAsia="Hiragino Sans GB"/>
        </w:rPr>
        <w:t>4:20–5:00：展示候选趋势因子失败实验，解释为什么没有上线。</w:t>
      </w:r>
    </w:p>
    <w:p>
      <w:pPr>
        <w:pStyle w:val="Heading2"/>
      </w:pPr>
      <w:r>
        <w:t>已知问题</w:t>
      </w:r>
    </w:p>
    <w:p>
      <w:pPr>
        <w:pStyle w:val="ListBullet"/>
      </w:pPr>
      <w:r>
        <w:rPr>
          <w:rFonts w:ascii="Calibri" w:hAnsi="Calibri" w:eastAsia="Hiragino Sans GB"/>
        </w:rPr>
        <w:t>财务与前瞻公开接口缺少正式 SLA，字段可能变化。</w:t>
      </w:r>
    </w:p>
    <w:p>
      <w:pPr>
        <w:pStyle w:val="ListBullet"/>
      </w:pPr>
      <w:r>
        <w:rPr>
          <w:rFonts w:ascii="Calibri" w:hAnsi="Calibri" w:eastAsia="Hiragino Sans GB"/>
        </w:rPr>
        <w:t>审计意见、监管处罚、重大诉讼和未披露事件覆盖不足。</w:t>
      </w:r>
    </w:p>
    <w:p>
      <w:pPr>
        <w:pStyle w:val="ListBullet"/>
      </w:pPr>
      <w:r>
        <w:rPr>
          <w:rFonts w:ascii="Calibri" w:hAnsi="Calibri" w:eastAsia="Hiragino Sans GB"/>
        </w:rPr>
        <w:t>机构预测覆盖偏向热门公司，必须持续抑制少样本影响。</w:t>
      </w:r>
    </w:p>
    <w:p>
      <w:pPr>
        <w:pStyle w:val="ListBullet"/>
      </w:pPr>
      <w:r>
        <w:rPr>
          <w:rFonts w:ascii="Calibri" w:hAnsi="Calibri" w:eastAsia="Hiragino Sans GB"/>
        </w:rPr>
        <w:t>基本面榜尚未完成严格公告日历史回测，不能声明具有实盘超额收益。</w:t>
      </w:r>
    </w:p>
    <w:p>
      <w:pPr>
        <w:pStyle w:val="ListBullet"/>
      </w:pPr>
      <w:r>
        <w:rPr>
          <w:rFonts w:ascii="Calibri" w:hAnsi="Calibri" w:eastAsia="Hiragino Sans GB"/>
        </w:rPr>
        <w:t>单 worker 进程内保存任务状态；扩展到多 worker 前需迁移到 Redis。</w:t>
      </w:r>
    </w:p>
    <w:p>
      <w:pPr>
        <w:pStyle w:val="Heading2"/>
      </w:pPr>
      <w:r>
        <w:t>下一阶段</w:t>
      </w:r>
    </w:p>
    <w:p>
      <w:pPr>
        <w:pStyle w:val="ListBullet"/>
      </w:pPr>
      <w:r>
        <w:rPr>
          <w:rFonts w:ascii="Calibri" w:hAnsi="Calibri" w:eastAsia="Hiragino Sans GB"/>
        </w:rPr>
        <w:t>补充审计、监管、诉讼、商誉和减值等风险数据。</w:t>
      </w:r>
    </w:p>
    <w:p>
      <w:pPr>
        <w:pStyle w:val="ListBullet"/>
      </w:pPr>
      <w:r>
        <w:rPr>
          <w:rFonts w:ascii="Calibri" w:hAnsi="Calibri" w:eastAsia="Hiragino Sans GB"/>
        </w:rPr>
        <w:t>建设历史公告日数据集，做无穿越的基本面组合验证。</w:t>
      </w:r>
    </w:p>
    <w:p>
      <w:pPr>
        <w:pStyle w:val="ListBullet"/>
      </w:pPr>
      <w:r>
        <w:rPr>
          <w:rFonts w:ascii="Calibri" w:hAnsi="Calibri" w:eastAsia="Hiragino Sans GB"/>
        </w:rPr>
        <w:t>建立 AI 回答质量集，评估事实一致性、引用覆盖和拒答质量。</w:t>
      </w:r>
    </w:p>
    <w:p>
      <w:pPr>
        <w:pStyle w:val="ListBullet"/>
      </w:pPr>
      <w:r>
        <w:rPr>
          <w:rFonts w:ascii="Calibri" w:hAnsi="Calibri" w:eastAsia="Hiragino Sans GB"/>
        </w:rPr>
        <w:t>增加数据源健康、延迟与 API 成本面板。</w:t>
      </w:r>
    </w:p>
    <w:p>
      <w:pPr>
        <w:spacing w:before="100" w:after="160"/>
        <w:ind w:left="259" w:right="115"/>
        <w:shd w:fill="E8EEF5"/>
        <w:pBdr>
          <w:left w:val="single" w:sz="24" w:space="8" w:color="0F6B78"/>
        </w:pBdr>
      </w:pPr>
      <w:r>
        <w:rPr>
          <w:rFonts w:ascii="Calibri" w:hAnsi="Calibri" w:eastAsia="Hiragino Sans GB"/>
          <w:b/>
          <w:color w:val="0F6B78"/>
          <w:sz w:val="21"/>
        </w:rPr>
        <w:t xml:space="preserve">公开访问  </w:t>
      </w:r>
      <w:r>
        <w:rPr>
          <w:rFonts w:ascii="Calibri" w:hAnsi="Calibri" w:eastAsia="Hiragino Sans GB"/>
          <w:b w:val="0"/>
          <w:color w:val="253341"/>
          <w:sz w:val="21"/>
        </w:rPr>
        <w:t>源码、PRD、架构、演示脚本和复盘： https://github.com/ross912/SG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iragino Sans GB"/>
        <w:color w:val="596979"/>
        <w:sz w:val="16"/>
      </w:rPr>
      <w:t xml:space="preserve">SG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Hiragino Sans GB"/>
        <w:b/>
        <w:color w:val="1F4E79"/>
        <w:sz w:val="16"/>
      </w:rPr>
      <w:t>SG  /  AI PRODUCT CASE  /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Hiragino Sans GB"/>
      <w:color w:val="25334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Hiragino Sans GB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Hiragino Sans GB"/>
      <w:b w:val="0"/>
      <w:i/>
      <w:iCs/>
      <w:color w:val="59697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03" w:hanging="259"/>
      <w:contextualSpacing/>
    </w:pPr>
    <w:rPr>
      <w:rFonts w:ascii="Calibri" w:hAnsi="Calibri" w:eastAsia="Hiragino Sans G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403" w:hanging="259"/>
      <w:contextualSpacing/>
    </w:pPr>
    <w:rPr>
      <w:rFonts w:ascii="Calibri" w:hAnsi="Calibri" w:eastAsia="Hiragino Sans G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/>
      <w:ind w:left="403" w:hanging="259"/>
      <w:contextualSpacing/>
    </w:pPr>
    <w:rPr>
      <w:rFonts w:ascii="Calibri" w:hAnsi="Calibri" w:eastAsia="Hiragino Sans GB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 AI 驱动的 A 股研究工作台｜项目作品说明书</dc:title>
  <dc:subject>AI 产品经理作品集案例</dc:subject>
  <dc:creator/>
  <cp:keywords>AI产品经理, 投研工作台, DeepSeek, Tavily, 基本面选股</cp:keywords>
  <dc:description>公开脱敏版；不构成投资建议。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