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Divine Love Saga Collaborative Agreement Drafts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For Co-Authors, Voice Talent, Artists &amp; Franchise Partners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R.F. Love | © 2025 FollowFive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I. GENERAL COLLABORATION AGREEMENT (Template)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Agreement is made on [DATE] between: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Creator: R.F. Lovezme (“Author” or “Owner”)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Collaborator Name: [Full Legal Name] (“Contributor”)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Scope: Contribution to the Eternal Bliss Ecosystem and/or “A Divine Love Saga” series through creative input, voicework, artwork, lore development, or technical integration.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Grant of Rights: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Contributor grants FollowFive and R.F. Lovezme non-exclusive rights to use, modify, publish, and distribute contributed content for commercial and promotional use, while preserving Contributor attribution and agreed royalties.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Intellectual Property: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 co-created assets remain jointly owned under shared IP. Final rights structure will be detailed per project. Contributor retains credit and may opt-in for NFT/authorship metadata recognition.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Royalties &amp; Compensation: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Royalties shall be calculated monthly, quarterly, or per milestone based 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Sales from books, audiobooks, merchandise, or NFTs featuring the Contributor’s work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Profit-4-All metrics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Tokenized ecosystem contributions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Credit &amp; Recognition: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 contributors will be listed in metadata, book credits, film sequences, and digital bios.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Termination Clause: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Either party may withdraw with 30 days written notice. Any prior contributions will remain protected and credited.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Signature: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By signing below, both parties agree to honor this agreement in love, respect, and divine collaboration.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Signature (Contributor): 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Date: 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Signature (Author / R.F. Lovezme): 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Date: 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II. VOICE TALENT AGREEMENT ADDENDUM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Scope: Recording of voice samples, audio narration, AI voice synthesis permission, or personalized ritual guidance.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Contributor permits recording, tuning, and AI-enhanced voice adaptation strictly within the Eternal Bliss ecosystem.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Payment based on usage metrics, royalties, or pre-agreed licensing fee.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Contributors may submit disclaimers or limits to how voice assets may be used (e.g., no synthetic emotion, certain rituals only).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III. ART &amp; VISUAL DESIGN LICENSE AGREEMENT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Scope: Logos, characters, symbols, sigils, cover art, illustrations, animations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Contributor retains original credit unless full rights are sold.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Art will be used across digital and printed materials, within AuraOS, Divine Love Saga branding, or promotional merchandise.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art will include metadata, creator tags, and NFT tagging (optional).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IV. FRANCHISE LICENSE AGREEMENT (DRAFT)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Purpose: To allow licensed distributors to publish, localize, and distribute Divine Love Saga content across regions or languages.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Licensees receive territory-specific rights with renewal every 3 years.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Must adhere to Divine Love Mythos, Lore Codex, and Branding Integrity Guidelines.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Revenue share model: [To be set at 60/40 or 70/30 depending on scope.]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Localization editors and voice directors must be trained or aligned with Eternal Bliss narrative style.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More specific contracts will be customized per collaboration (e.g., sound engineers, musicians, translators).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