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5fcff4f57b6bb77215acf975644a26f3b2fa000.png"/>
            <a:graphic>
              <a:graphicData uri="http://schemas.openxmlformats.org/drawingml/2006/picture">
                <pic:pic>
                  <pic:nvPicPr>
                    <pic:cNvPr id="1" name="image-a5fcff4f57b6bb77215acf975644a26f3b2fa00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Produce final Articles of Incorporation ready to paste into filing form</w:t>
      </w:r>
    </w:p>
    <w:p>
      <w:pPr>
        <w:spacing w:line="360" w:after="210" w:lineRule="auto"/>
      </w:pPr>
      <w:r>
        <w:rPr>
          <w:rFonts w:eastAsia="inter" w:cs="inter" w:ascii="inter" w:hAnsi="inter"/>
          <w:color w:val="000000"/>
        </w:rPr>
        <w:t xml:space="preserve">Here is your final paste-ready IRRA Articles of Incorporation text for filing with the Minnesota Secretary of State: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ARTICLES OF INCORPORATION</w:t>
      </w:r>
      <w:r>
        <w:rPr>
          <w:rFonts w:eastAsia="inter" w:cs="inter" w:ascii="inter" w:hAnsi="inter"/>
          <w:color w:val="000000"/>
        </w:rPr>
        <w:br w:type="textWrapping"/>
      </w:r>
      <w:r>
        <w:rPr>
          <w:rFonts w:eastAsia="inter" w:cs="inter" w:ascii="inter" w:hAnsi="inter"/>
          <w:b/>
          <w:color w:val="000000"/>
        </w:rPr>
        <w:t xml:space="preserve">Integrated Retinal Regeneration Alliance (IRRA)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I – Name</w:t>
      </w:r>
      <w:r>
        <w:rPr>
          <w:rFonts w:eastAsia="inter" w:cs="inter" w:ascii="inter" w:hAnsi="inter"/>
          <w:color w:val="000000"/>
        </w:rPr>
        <w:br w:type="textWrapping"/>
      </w:r>
      <w:r>
        <w:rPr>
          <w:rFonts w:eastAsia="inter" w:cs="inter" w:ascii="inter" w:hAnsi="inter"/>
          <w:color w:val="000000"/>
        </w:rPr>
        <w:t xml:space="preserve">The name of this corporation shall be </w:t>
      </w:r>
      <w:r>
        <w:rPr>
          <w:rFonts w:eastAsia="inter" w:cs="inter" w:ascii="inter" w:hAnsi="inter"/>
          <w:b/>
          <w:color w:val="000000"/>
        </w:rPr>
        <w:t xml:space="preserve">Integrated Retinal Regeneration Alliance (IRRA)</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II – Registered Office and Agent</w:t>
      </w:r>
      <w:r>
        <w:rPr>
          <w:rFonts w:eastAsia="inter" w:cs="inter" w:ascii="inter" w:hAnsi="inter"/>
          <w:color w:val="000000"/>
        </w:rPr>
        <w:br w:type="textWrapping"/>
      </w:r>
      <w:r>
        <w:rPr>
          <w:rFonts w:eastAsia="inter" w:cs="inter" w:ascii="inter" w:hAnsi="inter"/>
          <w:color w:val="000000"/>
        </w:rPr>
        <w:t xml:space="preserve">The address of the initial registered office in Minnesota is:</w:t>
      </w:r>
      <w:r>
        <w:rPr>
          <w:rFonts w:eastAsia="inter" w:cs="inter" w:ascii="inter" w:hAnsi="inter"/>
          <w:color w:val="000000"/>
        </w:rPr>
        <w:br w:type="textWrapping"/>
      </w:r>
      <w:r>
        <w:rPr>
          <w:rFonts w:eastAsia="inter" w:cs="inter" w:ascii="inter" w:hAnsi="inter"/>
          <w:color w:val="000000"/>
        </w:rPr>
        <w:t xml:space="preserve">202 N Cedar Ave Suite #1, Owatonna, MN 55060</w:t>
      </w:r>
    </w:p>
    <w:p>
      <w:pPr>
        <w:spacing w:line="360" w:after="210" w:lineRule="auto"/>
      </w:pPr>
      <w:r>
        <w:rPr>
          <w:rFonts w:eastAsia="inter" w:cs="inter" w:ascii="inter" w:hAnsi="inter"/>
          <w:color w:val="000000"/>
        </w:rPr>
        <w:t xml:space="preserve">The name of the initial registered agent at this address is:</w:t>
      </w:r>
      <w:r>
        <w:rPr>
          <w:rFonts w:eastAsia="inter" w:cs="inter" w:ascii="inter" w:hAnsi="inter"/>
          <w:color w:val="000000"/>
        </w:rPr>
        <w:br w:type="textWrapping"/>
      </w:r>
      <w:r>
        <w:rPr>
          <w:rFonts w:eastAsia="inter" w:cs="inter" w:ascii="inter" w:hAnsi="inter"/>
          <w:color w:val="000000"/>
        </w:rPr>
        <w:t xml:space="preserve">Minnesota Registered Agent Services LLC</w:t>
      </w:r>
      <w:r>
        <w:rPr>
          <w:rFonts w:eastAsia="inter" w:cs="inter" w:ascii="inter" w:hAnsi="inter"/>
          <w:color w:val="000000"/>
        </w:rPr>
        <w:br w:type="textWrapping"/>
      </w:r>
      <w:r>
        <w:rPr>
          <w:rFonts w:eastAsia="inter" w:cs="inter" w:ascii="inter" w:hAnsi="inter"/>
          <w:color w:val="000000"/>
        </w:rPr>
        <w:t xml:space="preserve">Phone: (651) 256-3069</w:t>
      </w:r>
      <w:r>
        <w:rPr>
          <w:rFonts w:eastAsia="inter" w:cs="inter" w:ascii="inter" w:hAnsi="inter"/>
          <w:color w:val="000000"/>
        </w:rPr>
        <w:br w:type="textWrapping"/>
      </w:r>
      <w:r>
        <w:rPr>
          <w:rFonts w:eastAsia="inter" w:cs="inter" w:ascii="inter" w:hAnsi="inter"/>
          <w:color w:val="000000"/>
        </w:rPr>
        <w:t xml:space="preserve">© 2025 Minnesota Registered Agent Services LLC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III – Duration</w:t>
      </w:r>
      <w:r>
        <w:rPr>
          <w:rFonts w:eastAsia="inter" w:cs="inter" w:ascii="inter" w:hAnsi="inter"/>
          <w:color w:val="000000"/>
        </w:rPr>
        <w:br w:type="textWrapping"/>
      </w:r>
      <w:r>
        <w:rPr>
          <w:rFonts w:eastAsia="inter" w:cs="inter" w:ascii="inter" w:hAnsi="inter"/>
          <w:color w:val="000000"/>
        </w:rPr>
        <w:t xml:space="preserve">The duration of the corporation is </w:t>
      </w:r>
      <w:r>
        <w:rPr>
          <w:rFonts w:eastAsia="inter" w:cs="inter" w:ascii="inter" w:hAnsi="inter"/>
          <w:b/>
          <w:color w:val="000000"/>
        </w:rPr>
        <w:t xml:space="preserve">perpetual</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IV – Purpose</w:t>
      </w:r>
      <w:r>
        <w:rPr>
          <w:rFonts w:eastAsia="inter" w:cs="inter" w:ascii="inter" w:hAnsi="inter"/>
          <w:color w:val="000000"/>
        </w:rPr>
        <w:br w:type="textWrapping"/>
      </w:r>
      <w:r>
        <w:rPr>
          <w:rFonts w:eastAsia="inter" w:cs="inter" w:ascii="inter" w:hAnsi="inter"/>
          <w:color w:val="000000"/>
        </w:rPr>
        <w:t xml:space="preserve">This corporation is organized exclusively for charitable, scientific, and educational purposes within the meaning of section 501(c)(3) of the Internal Revenue Code, including, but not limited to, the following purposes:</w:t>
      </w:r>
    </w:p>
    <w:p>
      <w:pPr>
        <w:numPr>
          <w:ilvl w:val="0"/>
          <w:numId w:val="1"/>
        </w:numPr>
        <w:spacing w:line="360" w:before="105" w:after="105" w:lineRule="auto"/>
      </w:pPr>
      <w:r>
        <w:rPr>
          <w:rFonts w:eastAsia="inter" w:cs="inter" w:ascii="inter" w:hAnsi="inter"/>
          <w:color w:val="000000"/>
          <w:sz w:val="21"/>
        </w:rPr>
        <w:t xml:space="preserve">Conducting and supporting research in regenerative medicine with a focus on retinal repair and Septo-Optic Dysplasia (SOD).</w:t>
      </w:r>
    </w:p>
    <w:p>
      <w:pPr>
        <w:numPr>
          <w:ilvl w:val="0"/>
          <w:numId w:val="1"/>
        </w:numPr>
        <w:spacing w:line="360" w:before="105" w:after="105" w:lineRule="auto"/>
      </w:pPr>
      <w:r>
        <w:rPr>
          <w:rFonts w:eastAsia="inter" w:cs="inter" w:ascii="inter" w:hAnsi="inter"/>
          <w:color w:val="000000"/>
          <w:sz w:val="21"/>
        </w:rPr>
        <w:t xml:space="preserve">Promoting open, collaborative scientific inquiry and dissemination of research knowledge.</w:t>
      </w:r>
    </w:p>
    <w:p>
      <w:pPr>
        <w:numPr>
          <w:ilvl w:val="0"/>
          <w:numId w:val="1"/>
        </w:numPr>
        <w:spacing w:line="360" w:before="105" w:after="105" w:lineRule="auto"/>
      </w:pPr>
      <w:r>
        <w:rPr>
          <w:rFonts w:eastAsia="inter" w:cs="inter" w:ascii="inter" w:hAnsi="inter"/>
          <w:color w:val="000000"/>
          <w:sz w:val="21"/>
        </w:rPr>
        <w:t xml:space="preserve">Engaging in public education, advocacy, and outreach related to vision health and regenerative science.</w:t>
      </w:r>
    </w:p>
    <w:p>
      <w:pPr>
        <w:spacing w:line="360" w:after="210" w:lineRule="auto"/>
      </w:pPr>
      <w:r>
        <w:rPr>
          <w:rFonts w:eastAsia="inter" w:cs="inter" w:ascii="inter" w:hAnsi="inter"/>
          <w:color w:val="000000"/>
        </w:rPr>
        <w:t xml:space="preserve">No part of the net earnings of the corporation shall inure to the benefit of, or be distributable to its members, trustees, officers, or other private persons except that the corporation shall be authorized and empowered to pay reasonable compensation for services rendered and to make payments and distributions in furtherance of the purposes set forth herein.</w:t>
      </w:r>
    </w:p>
    <w:p>
      <w:pPr>
        <w:spacing w:line="360" w:after="210" w:lineRule="auto"/>
      </w:pPr>
      <w:r>
        <w:rPr>
          <w:rFonts w:eastAsia="inter" w:cs="inter" w:ascii="inter" w:hAnsi="inter"/>
          <w:color w:val="000000"/>
        </w:rPr>
        <w:t xml:space="preserve">No substantial part of the activities of the corporation shall be carrying on propaganda or otherwise attempting to influence legislation, nor shall the corporation participate or intervene in (including publishing or distributing statements) any political campaign on behalf of or in opposition to any candidate for public office.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V – Limitations and Dissolution</w:t>
      </w:r>
    </w:p>
    <w:p>
      <w:pPr>
        <w:numPr>
          <w:ilvl w:val="0"/>
          <w:numId w:val="2"/>
        </w:numPr>
        <w:spacing w:line="360" w:before="105" w:after="105" w:lineRule="auto"/>
      </w:pPr>
      <w:r>
        <w:rPr>
          <w:rFonts w:eastAsia="inter" w:cs="inter" w:ascii="inter" w:hAnsi="inter"/>
          <w:color w:val="000000"/>
          <w:sz w:val="21"/>
        </w:rPr>
        <w:t xml:space="preserve">The corporation shall not engage in any activities not permitted for a corporation exempt under section 501(c)(3) of the Internal Revenue Code.</w:t>
      </w:r>
    </w:p>
    <w:p>
      <w:pPr>
        <w:numPr>
          <w:ilvl w:val="0"/>
          <w:numId w:val="2"/>
        </w:numPr>
        <w:spacing w:line="360" w:before="105" w:after="105" w:lineRule="auto"/>
      </w:pPr>
      <w:r>
        <w:rPr>
          <w:rFonts w:eastAsia="inter" w:cs="inter" w:ascii="inter" w:hAnsi="inter"/>
          <w:color w:val="000000"/>
          <w:sz w:val="21"/>
        </w:rPr>
        <w:t xml:space="preserve">Upon dissolution, the corporation’s assets shall be distributed for one or more exempt purposes within the meaning of section 501(c)(3) of the Internal Revenue Code, or to the federal government, or to a state or local government, for a public purpose. Any such assets not so disposed of shall be disposed of by a Court of Competent Jurisdiction exclusively for such purposes.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VI – Membership</w:t>
      </w:r>
      <w:r>
        <w:rPr>
          <w:rFonts w:eastAsia="inter" w:cs="inter" w:ascii="inter" w:hAnsi="inter"/>
          <w:color w:val="000000"/>
        </w:rPr>
        <w:br w:type="textWrapping"/>
      </w:r>
      <w:r>
        <w:rPr>
          <w:rFonts w:eastAsia="inter" w:cs="inter" w:ascii="inter" w:hAnsi="inter"/>
          <w:color w:val="000000"/>
        </w:rPr>
        <w:t xml:space="preserve">The corporation shall have </w:t>
      </w:r>
      <w:r>
        <w:rPr>
          <w:rFonts w:eastAsia="inter" w:cs="inter" w:ascii="inter" w:hAnsi="inter"/>
          <w:b/>
          <w:color w:val="000000"/>
        </w:rPr>
        <w:t xml:space="preserve">no members</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VII – Directors</w:t>
      </w:r>
      <w:r>
        <w:rPr>
          <w:rFonts w:eastAsia="inter" w:cs="inter" w:ascii="inter" w:hAnsi="inter"/>
          <w:color w:val="000000"/>
        </w:rPr>
        <w:br w:type="textWrapping"/>
      </w:r>
      <w:r>
        <w:rPr>
          <w:rFonts w:eastAsia="inter" w:cs="inter" w:ascii="inter" w:hAnsi="inter"/>
          <w:color w:val="000000"/>
        </w:rPr>
        <w:t xml:space="preserve">The affairs of the corporation shall be managed by a Board of Directors consisting of not fewer than three (3) and no more than fifteen (15) directors.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VIII – Conflict of Interest</w:t>
      </w:r>
      <w:r>
        <w:rPr>
          <w:rFonts w:eastAsia="inter" w:cs="inter" w:ascii="inter" w:hAnsi="inter"/>
          <w:color w:val="000000"/>
        </w:rPr>
        <w:br w:type="textWrapping"/>
      </w:r>
      <w:r>
        <w:rPr>
          <w:rFonts w:eastAsia="inter" w:cs="inter" w:ascii="inter" w:hAnsi="inter"/>
          <w:color w:val="000000"/>
        </w:rPr>
        <w:t xml:space="preserve">The corporation shall adopt a conflict-of-interest policy that requires directors, officers, and key employees to disclose any actual or potential conflicts of interest, refrain from voting or decision-making on matters where a conflict exists, and ensure transparency and accountability consistent with Minnesota statute and IRS requirements.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IX – Indemnification</w:t>
      </w:r>
      <w:r>
        <w:rPr>
          <w:rFonts w:eastAsia="inter" w:cs="inter" w:ascii="inter" w:hAnsi="inter"/>
          <w:color w:val="000000"/>
        </w:rPr>
        <w:br w:type="textWrapping"/>
      </w:r>
      <w:r>
        <w:rPr>
          <w:rFonts w:eastAsia="inter" w:cs="inter" w:ascii="inter" w:hAnsi="inter"/>
          <w:color w:val="000000"/>
        </w:rPr>
        <w:t xml:space="preserve">To the fullest extent permitted by Minnesota law, the corporation shall indemnify any current or former director, officer, employee, or agent of the corporation against expenses, including attorney’s fees, judgments, fines, and amounts paid in settlement, reasonably incurred in connection with any threatened, pending, or completed legal action or proceeding arising out of their service to the corporation, provided they acted in good faith and in a manner reasonably believed to be in the best interests of the corporation.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 X – Incorporator</w:t>
      </w:r>
      <w:r>
        <w:rPr>
          <w:rFonts w:eastAsia="inter" w:cs="inter" w:ascii="inter" w:hAnsi="inter"/>
          <w:color w:val="000000"/>
        </w:rPr>
        <w:br w:type="textWrapping"/>
      </w:r>
      <w:r>
        <w:rPr>
          <w:rFonts w:eastAsia="inter" w:cs="inter" w:ascii="inter" w:hAnsi="inter"/>
          <w:color w:val="000000"/>
        </w:rPr>
        <w:t xml:space="preserve">The name and address of the incorporator are:</w:t>
      </w:r>
      <w:r>
        <w:rPr>
          <w:rFonts w:eastAsia="inter" w:cs="inter" w:ascii="inter" w:hAnsi="inter"/>
          <w:color w:val="000000"/>
        </w:rPr>
        <w:br w:type="textWrapping"/>
      </w:r>
      <w:r>
        <w:rPr>
          <w:rFonts w:eastAsia="inter" w:cs="inter" w:ascii="inter" w:hAnsi="inter"/>
          <w:color w:val="000000"/>
        </w:rPr>
        <w:t xml:space="preserve">Ross Andrew Edwards</w:t>
      </w:r>
      <w:r>
        <w:rPr>
          <w:rFonts w:eastAsia="inter" w:cs="inter" w:ascii="inter" w:hAnsi="inter"/>
          <w:color w:val="000000"/>
        </w:rPr>
        <w:br w:type="textWrapping"/>
      </w:r>
      <w:r>
        <w:rPr>
          <w:rFonts w:eastAsia="inter" w:cs="inter" w:ascii="inter" w:hAnsi="inter"/>
          <w:color w:val="000000"/>
        </w:rPr>
        <w:t xml:space="preserve">202 N Cedar Ave Suite #1</w:t>
      </w:r>
      <w:r>
        <w:rPr>
          <w:rFonts w:eastAsia="inter" w:cs="inter" w:ascii="inter" w:hAnsi="inter"/>
          <w:color w:val="000000"/>
        </w:rPr>
        <w:br w:type="textWrapping"/>
      </w:r>
      <w:r>
        <w:rPr>
          <w:rFonts w:eastAsia="inter" w:cs="inter" w:ascii="inter" w:hAnsi="inter"/>
          <w:color w:val="000000"/>
        </w:rPr>
        <w:t xml:space="preserve">Owatonna, MN 55060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Execution</w:t>
      </w:r>
      <w:r>
        <w:rPr>
          <w:rFonts w:eastAsia="inter" w:cs="inter" w:ascii="inter" w:hAnsi="inter"/>
          <w:color w:val="000000"/>
        </w:rPr>
        <w:br w:type="textWrapping"/>
      </w:r>
      <w:r>
        <w:rPr>
          <w:rFonts w:eastAsia="inter" w:cs="inter" w:ascii="inter" w:hAnsi="inter"/>
          <w:color w:val="000000"/>
        </w:rPr>
        <w:t xml:space="preserve">The undersigned incorporator hereby signs these Articles of Incorporation under Minnesota Statutes Chapter 317A on this date: _______________________</w:t>
      </w:r>
    </w:p>
    <w:p>
      <w:pPr>
        <w:spacing w:line="360" w:after="210" w:lineRule="auto"/>
      </w:pPr>
      <w:r>
        <w:rPr>
          <w:rFonts w:eastAsia="inter" w:cs="inter" w:ascii="inter" w:hAnsi="inter"/>
          <w:color w:val="000000"/>
        </w:rPr>
        <w:t xml:space="preserve">Incorporator Signature: ________________________________________</w:t>
      </w:r>
      <w:r>
        <w:rPr>
          <w:rFonts w:eastAsia="inter" w:cs="inter" w:ascii="inter" w:hAnsi="inter"/>
          <w:color w:val="000000"/>
        </w:rPr>
        <w:br w:type="textWrapping"/>
      </w:r>
      <w:r>
        <w:rPr>
          <w:rFonts w:eastAsia="inter" w:cs="inter" w:ascii="inter" w:hAnsi="inter"/>
          <w:color w:val="000000"/>
        </w:rPr>
        <w:t xml:space="preserve">Print Name: Ross Andrew Edwards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is complete and ready to paste into your filing form or document.</w:t>
      </w:r>
    </w:p>
    <w:p>
      <w:pPr>
        <w:spacing w:line="360" w:after="210" w:lineRule="auto"/>
      </w:pPr>
      <w:r>
        <w:rPr>
          <w:rFonts w:eastAsia="inter" w:cs="inter" w:ascii="inter" w:hAnsi="inter"/>
          <w:color w:val="000000"/>
        </w:rPr>
        <w:t xml:space="preserve">Would you like the cover letter template next for submission?</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0" w:name="fn1"/>
    <w:bookmarkEnd w:id="0"/>
    <w:p>
      <w:pPr>
        <w:numPr>
          <w:ilvl w:val="0"/>
          <w:numId w:val="4"/>
        </w:numPr>
        <w:spacing w:line="360" w:after="210" w:lineRule="auto"/>
      </w:pPr>
      <w:r>
        <w:rPr>
          <w:rFonts w:eastAsia="inter" w:cs="inter" w:ascii="inter" w:hAnsi="inter"/>
          <w:color w:val="000000"/>
          <w:sz w:val="18"/>
        </w:rPr>
        <w:t xml:space="preserve">Name-BrandingEssence-PositioningConcepts-TaglineIdeas.csv </w:t>
      </w:r>
    </w:p>
    <w:bookmarkStart w:id="1" w:name="fn2"/>
    <w:bookmarkEnd w:id="1"/>
    <w:p>
      <w:pPr>
        <w:numPr>
          <w:ilvl w:val="0"/>
          <w:numId w:val="4"/>
        </w:numPr>
        <w:spacing w:line="360" w:after="210" w:lineRule="auto"/>
      </w:pPr>
      <w:hyperlink r:id="rId6">
        <w:r>
          <w:rPr>
            <w:rFonts w:eastAsia="inter" w:cs="inter" w:ascii="inter" w:hAnsi="inter"/>
            <w:color w:val="#000"/>
            <w:sz w:val="18"/>
            <w:u w:val="single"/>
          </w:rPr>
          <w:t xml:space="preserve">https://www.pdfrun.com/form/articles-of-incorporation</w:t>
        </w:r>
      </w:hyperlink>
      <w:r>
        <w:rPr>
          <w:rFonts w:eastAsia="inter" w:cs="inter" w:ascii="inter" w:hAnsi="inter"/>
          <w:color w:val="000000"/>
          <w:sz w:val="18"/>
        </w:rPr>
        <w:t xml:space="preserve"> </w:t>
      </w:r>
    </w:p>
    <w:bookmarkStart w:id="2" w:name="fn3"/>
    <w:bookmarkEnd w:id="2"/>
    <w:p>
      <w:pPr>
        <w:numPr>
          <w:ilvl w:val="0"/>
          <w:numId w:val="4"/>
        </w:numPr>
        <w:spacing w:line="360" w:after="210" w:lineRule="auto"/>
      </w:pPr>
      <w:hyperlink r:id="rId7">
        <w:r>
          <w:rPr>
            <w:rFonts w:eastAsia="inter" w:cs="inter" w:ascii="inter" w:hAnsi="inter"/>
            <w:color w:val="#000"/>
            <w:sz w:val="18"/>
            <w:u w:val="single"/>
          </w:rPr>
          <w:t xml:space="preserve">https://legal.thomsonreuters.com/blog/what-are-articles-of-incorporation-what-should-be-included/</w:t>
        </w:r>
      </w:hyperlink>
      <w:r>
        <w:rPr>
          <w:rFonts w:eastAsia="inter" w:cs="inter" w:ascii="inter" w:hAnsi="inter"/>
          <w:color w:val="000000"/>
          <w:sz w:val="18"/>
        </w:rPr>
        <w:t xml:space="preserve"> </w:t>
      </w:r>
    </w:p>
    <w:bookmarkStart w:id="3" w:name="fn4"/>
    <w:bookmarkEnd w:id="3"/>
    <w:p>
      <w:pPr>
        <w:numPr>
          <w:ilvl w:val="0"/>
          <w:numId w:val="4"/>
        </w:numPr>
        <w:spacing w:line="360" w:after="210" w:lineRule="auto"/>
      </w:pPr>
      <w:hyperlink r:id="rId8">
        <w:r>
          <w:rPr>
            <w:rFonts w:eastAsia="inter" w:cs="inter" w:ascii="inter" w:hAnsi="inter"/>
            <w:color w:val="#000"/>
            <w:sz w:val="18"/>
            <w:u w:val="single"/>
          </w:rPr>
          <w:t xml:space="preserve">https://llcbuddy.com/minnesota-llc/minnesota-articles-of-incorporation/</w:t>
        </w:r>
      </w:hyperlink>
      <w:r>
        <w:rPr>
          <w:rFonts w:eastAsia="inter" w:cs="inter" w:ascii="inter" w:hAnsi="inter"/>
          <w:color w:val="000000"/>
          <w:sz w:val="18"/>
        </w:rPr>
        <w:t xml:space="preserve"> </w:t>
      </w:r>
    </w:p>
    <w:bookmarkStart w:id="4" w:name="fn5"/>
    <w:bookmarkEnd w:id="4"/>
    <w:p>
      <w:pPr>
        <w:numPr>
          <w:ilvl w:val="0"/>
          <w:numId w:val="4"/>
        </w:numPr>
        <w:spacing w:line="360" w:after="210" w:lineRule="auto"/>
      </w:pPr>
      <w:hyperlink r:id="rId9">
        <w:r>
          <w:rPr>
            <w:rFonts w:eastAsia="inter" w:cs="inter" w:ascii="inter" w:hAnsi="inter"/>
            <w:color w:val="#000"/>
            <w:sz w:val="18"/>
            <w:u w:val="single"/>
          </w:rPr>
          <w:t xml:space="preserve">https://www.sos.mn.gov/media/1388/domesticbusinesscorparticlesofinc.pdf</w:t>
        </w:r>
      </w:hyperlink>
      <w:r>
        <w:rPr>
          <w:rFonts w:eastAsia="inter" w:cs="inter" w:ascii="inter" w:hAnsi="inter"/>
          <w:color w:val="000000"/>
          <w:sz w:val="18"/>
        </w:rPr>
        <w:t xml:space="preserve"> </w:t>
      </w:r>
    </w:p>
    <w:bookmarkStart w:id="5" w:name="fn6"/>
    <w:bookmarkEnd w:id="5"/>
    <w:p>
      <w:pPr>
        <w:numPr>
          <w:ilvl w:val="0"/>
          <w:numId w:val="4"/>
        </w:numPr>
        <w:spacing w:line="360" w:after="210" w:lineRule="auto"/>
      </w:pPr>
      <w:hyperlink r:id="rId10">
        <w:r>
          <w:rPr>
            <w:rFonts w:eastAsia="inter" w:cs="inter" w:ascii="inter" w:hAnsi="inter"/>
            <w:color w:val="#000"/>
            <w:sz w:val="18"/>
            <w:u w:val="single"/>
          </w:rPr>
          <w:t xml:space="preserve">https://www.wildapricot.com/blog/articles-of-incorporation-nonprofit</w:t>
        </w:r>
      </w:hyperlink>
      <w:r>
        <w:rPr>
          <w:rFonts w:eastAsia="inter" w:cs="inter" w:ascii="inter" w:hAnsi="inter"/>
          <w:color w:val="000000"/>
          <w:sz w:val="18"/>
        </w:rPr>
        <w:t xml:space="preserve"> </w:t>
      </w:r>
    </w:p>
    <w:bookmarkStart w:id="6" w:name="fn7"/>
    <w:bookmarkEnd w:id="6"/>
    <w:p>
      <w:pPr>
        <w:numPr>
          <w:ilvl w:val="0"/>
          <w:numId w:val="4"/>
        </w:numPr>
        <w:spacing w:line="360" w:after="210" w:lineRule="auto"/>
      </w:pPr>
      <w:hyperlink r:id="rId11">
        <w:r>
          <w:rPr>
            <w:rFonts w:eastAsia="inter" w:cs="inter" w:ascii="inter" w:hAnsi="inter"/>
            <w:color w:val="#000"/>
            <w:sz w:val="18"/>
            <w:u w:val="single"/>
          </w:rPr>
          <w:t xml:space="preserve">https://mn.gov/deed/business/starting-business/organizing/forming-corporation.jsp</w:t>
        </w:r>
      </w:hyperlink>
      <w:r>
        <w:rPr>
          <w:rFonts w:eastAsia="inter" w:cs="inter" w:ascii="inter" w:hAnsi="inter"/>
          <w:color w:val="000000"/>
          <w:sz w:val="18"/>
        </w:rPr>
        <w:t xml:space="preserve"> </w:t>
      </w:r>
    </w:p>
    <w:bookmarkStart w:id="7" w:name="fn8"/>
    <w:bookmarkEnd w:id="7"/>
    <w:p>
      <w:pPr>
        <w:numPr>
          <w:ilvl w:val="0"/>
          <w:numId w:val="4"/>
        </w:numPr>
        <w:spacing w:line="360" w:after="210" w:lineRule="auto"/>
      </w:pPr>
      <w:hyperlink r:id="rId12">
        <w:r>
          <w:rPr>
            <w:rFonts w:eastAsia="inter" w:cs="inter" w:ascii="inter" w:hAnsi="inter"/>
            <w:color w:val="#000"/>
            <w:sz w:val="18"/>
            <w:u w:val="single"/>
          </w:rPr>
          <w:t xml:space="preserve">https://www.lawdepot.com/us/business/articles-of-incorporation/</w:t>
        </w:r>
      </w:hyperlink>
      <w:r>
        <w:rPr>
          <w:rFonts w:eastAsia="inter" w:cs="inter" w:ascii="inter" w:hAnsi="inter"/>
          <w:color w:val="000000"/>
          <w:sz w:val="18"/>
        </w:rPr>
        <w:t xml:space="preserve"> </w:t>
      </w:r>
    </w:p>
    <w:bookmarkStart w:id="8" w:name="fn9"/>
    <w:bookmarkEnd w:id="8"/>
    <w:p>
      <w:pPr>
        <w:numPr>
          <w:ilvl w:val="0"/>
          <w:numId w:val="4"/>
        </w:numPr>
        <w:spacing w:line="360" w:after="210" w:lineRule="auto"/>
      </w:pPr>
      <w:hyperlink r:id="rId13">
        <w:r>
          <w:rPr>
            <w:rFonts w:eastAsia="inter" w:cs="inter" w:ascii="inter" w:hAnsi="inter"/>
            <w:color w:val="#000"/>
            <w:sz w:val="18"/>
            <w:u w:val="single"/>
          </w:rPr>
          <w:t xml:space="preserve">https://www.springly.org/en-us/blog/how-an-articles-of-incorporation-worksheet-can-help-you-launch-your-nonprofit/</w:t>
        </w:r>
      </w:hyperlink>
      <w:r>
        <w:rPr>
          <w:rFonts w:eastAsia="inter" w:cs="inter" w:ascii="inter" w:hAnsi="inter"/>
          <w:color w:val="000000"/>
          <w:sz w:val="18"/>
        </w:rPr>
        <w:t xml:space="preserve"> </w:t>
      </w:r>
    </w:p>
    <w:bookmarkStart w:id="9" w:name="fn10"/>
    <w:bookmarkEnd w:id="9"/>
    <w:p>
      <w:pPr>
        <w:numPr>
          <w:ilvl w:val="0"/>
          <w:numId w:val="4"/>
        </w:numPr>
        <w:spacing w:line="360" w:after="210" w:lineRule="auto"/>
      </w:pPr>
      <w:hyperlink r:id="rId14">
        <w:r>
          <w:rPr>
            <w:rFonts w:eastAsia="inter" w:cs="inter" w:ascii="inter" w:hAnsi="inter"/>
            <w:color w:val="#000"/>
            <w:sz w:val="18"/>
            <w:u w:val="single"/>
          </w:rPr>
          <w:t xml:space="preserve">https://www.usestable.com/blog/articles-of-incorporation-template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5fcff4f57b6bb77215acf975644a26f3b2fa000.png" TargetMode="Internal"/><Relationship Id="rId6" Type="http://schemas.openxmlformats.org/officeDocument/2006/relationships/hyperlink" Target="https://www.pdfrun.com/form/articles-of-incorporation" TargetMode="External"/><Relationship Id="rId7" Type="http://schemas.openxmlformats.org/officeDocument/2006/relationships/hyperlink" Target="https://legal.thomsonreuters.com/blog/what-are-articles-of-incorporation-what-should-be-included/" TargetMode="External"/><Relationship Id="rId8" Type="http://schemas.openxmlformats.org/officeDocument/2006/relationships/hyperlink" Target="https://llcbuddy.com/minnesota-llc/minnesota-articles-of-incorporation/" TargetMode="External"/><Relationship Id="rId9" Type="http://schemas.openxmlformats.org/officeDocument/2006/relationships/hyperlink" Target="https://www.sos.mn.gov/media/1388/domesticbusinesscorparticlesofinc.pdf" TargetMode="External"/><Relationship Id="rId10" Type="http://schemas.openxmlformats.org/officeDocument/2006/relationships/hyperlink" Target="https://www.wildapricot.com/blog/articles-of-incorporation-nonprofit" TargetMode="External"/><Relationship Id="rId11" Type="http://schemas.openxmlformats.org/officeDocument/2006/relationships/hyperlink" Target="https://mn.gov/deed/business/starting-business/organizing/forming-corporation.jsp" TargetMode="External"/><Relationship Id="rId12" Type="http://schemas.openxmlformats.org/officeDocument/2006/relationships/hyperlink" Target="https://www.lawdepot.com/us/business/articles-of-incorporation/" TargetMode="External"/><Relationship Id="rId13" Type="http://schemas.openxmlformats.org/officeDocument/2006/relationships/hyperlink" Target="https://www.springly.org/en-us/blog/how-an-articles-of-incorporation-worksheet-can-help-you-launch-your-nonprofit/" TargetMode="External"/><Relationship Id="rId14" Type="http://schemas.openxmlformats.org/officeDocument/2006/relationships/hyperlink" Target="https://www.usestable.com/blog/articles-of-incorporation-templat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2025-09-13T11:19:41.433Z</dcterms:created>
  <dcterms:modified xsi:type="dcterms:W3CDTF">2025-09-13T11:19:41.433Z</dcterms:modified>
</cp:coreProperties>
</file>