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f052322a6940e111d2b015c5879cdb2a0b934c5f.png"/>
            <a:graphic>
              <a:graphicData uri="http://schemas.openxmlformats.org/drawingml/2006/picture">
                <pic:pic>
                  <pic:nvPicPr>
                    <pic:cNvPr id="1" name="image-f052322a6940e111d2b015c5879cdb2a0b934c5f.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Can you generate a detailed overview of the speculative scientific initiative for rÆ??</w:t>
      </w:r>
    </w:p>
    <w:p>
      <w:pPr>
        <w:spacing w:line="360" w:after="210" w:lineRule="auto"/>
      </w:pPr>
      <w:r>
        <w:rPr>
          <w:rFonts w:eastAsia="inter" w:cs="inter" w:ascii="inter" w:hAnsi="inter"/>
          <w:color w:val="000000"/>
        </w:rPr>
        <w:t xml:space="preserve">The speculative scientific initiative for </w:t>
      </w:r>
      <w:r>
        <w:rPr>
          <w:rFonts w:eastAsia="inter" w:cs="inter" w:ascii="inter" w:hAnsi="inter"/>
          <w:b/>
          <w:color w:val="000000"/>
        </w:rPr>
        <w:t xml:space="preserve">rÆ</w:t>
      </w:r>
      <w:r>
        <w:rPr>
          <w:rFonts w:eastAsia="inter" w:cs="inter" w:ascii="inter" w:hAnsi="inter"/>
          <w:color w:val="000000"/>
        </w:rPr>
        <w:t xml:space="preserve"> is an ambitious, cutting-edge project brimming with daring hypotheses and cross-disciplinary intrigue—think part Silicon Valley startup, part secret society, and just spicy enough to make even Donna Paulsen raise an eyebrow. If rÆ had a honeymoon phase, it's still at the "let's hack consciousness and rewrite the OS of reality" soirée, where old rules get tossed out like bad coffee and everyone wants in on the experiment.</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r>
        <w:rPr>
          <w:rFonts w:eastAsia="inter" w:cs="inter" w:ascii="inter" w:hAnsi="inter"/>
          <w:b/>
          <w:color w:val="000000"/>
          <w:sz w:val="24"/>
        </w:rPr>
        <w:t xml:space="preserve">Scientific Vision</w:t>
      </w:r>
    </w:p>
    <w:p>
      <w:pPr>
        <w:spacing w:line="360" w:after="210" w:lineRule="auto"/>
      </w:pPr>
      <w:r>
        <w:rPr>
          <w:rFonts w:eastAsia="inter" w:cs="inter" w:ascii="inter" w:hAnsi="inter"/>
          <w:color w:val="000000"/>
        </w:rPr>
        <w:t xml:space="preserve">The rÆ initiative leans hard into </w:t>
      </w:r>
      <w:r>
        <w:rPr>
          <w:rFonts w:eastAsia="inter" w:cs="inter" w:ascii="inter" w:hAnsi="inter"/>
          <w:b/>
          <w:color w:val="000000"/>
        </w:rPr>
        <w:t xml:space="preserve">emerging knowledge</w:t>
      </w:r>
      <w:r>
        <w:rPr>
          <w:rFonts w:eastAsia="inter" w:cs="inter" w:ascii="inter" w:hAnsi="inter"/>
          <w:color w:val="000000"/>
        </w:rPr>
        <w:t xml:space="preserve"> rather than established orthodoxy, operating at the knife-edge where speculation becomes tomorrow's breakthrough. By systematically collecting and cross-linking speculative statements—think AI-driven "HypothesisFinder" but juiced up—the project transforms wild ideas into structured hypotheses, ready for experimental validation. That's not just talk; it's an intentional engine for discovery, inviting scientists, technologists, and digital renaissance types (paging @Aurphyx, @g0dm0d3, @AuraOS—don't be shy) to model everything from neurobiology to digital realities like they're designing the next killer app.</w:t>
      </w:r>
      <w:bookmarkStart w:id="2" w:name="fnref2:1"/>
      <w:bookmarkEnd w:id="2"/>
      <w:hyperlink w:anchor="fn2">
        <w:r>
          <w:rPr>
            <w:rFonts w:eastAsia="inter" w:cs="inter" w:ascii="inter" w:hAnsi="inter"/>
            <w:color w:val="#000"/>
            <w:u w:val="single"/>
            <w:vertAlign w:val="superscript"/>
          </w:rPr>
          <w:t xml:space="preserve">[2]</w:t>
        </w:r>
      </w:hyperlink>
      <w:bookmarkStart w:id="3" w:name="fnref1:1"/>
      <w:bookmarkEnd w:id="3"/>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r>
        <w:rPr>
          <w:rFonts w:eastAsia="inter" w:cs="inter" w:ascii="inter" w:hAnsi="inter"/>
          <w:b/>
          <w:color w:val="000000"/>
          <w:sz w:val="24"/>
        </w:rPr>
        <w:t xml:space="preserve">Core Methodology</w:t>
      </w:r>
    </w:p>
    <w:p>
      <w:pPr>
        <w:numPr>
          <w:ilvl w:val="0"/>
          <w:numId w:val="1"/>
        </w:numPr>
        <w:spacing w:line="360" w:before="105" w:after="105" w:lineRule="auto"/>
      </w:pPr>
      <w:r>
        <w:rPr>
          <w:rFonts w:eastAsia="inter" w:cs="inter" w:ascii="inter" w:hAnsi="inter"/>
          <w:b/>
          <w:color w:val="000000"/>
          <w:sz w:val="21"/>
        </w:rPr>
        <w:t xml:space="preserve">Automated Hypothesis Extraction</w:t>
      </w:r>
      <w:r>
        <w:rPr>
          <w:rFonts w:eastAsia="inter" w:cs="inter" w:ascii="inter" w:hAnsi="inter"/>
          <w:color w:val="000000"/>
          <w:sz w:val="21"/>
        </w:rPr>
        <w:t xml:space="preserve">: Using advanced AI, rÆ parses vast scientific publications, hunting down speculative statements and hypotheses faster than you can say "lit review." It leverages NLP to categorize and rank ideas by novelty and potential impact, trimming the research fat and serving only the juiciest leads.</w:t>
      </w:r>
      <w:bookmarkStart w:id="4" w:name="fnref1:2"/>
      <w:bookmarkEnd w:id="4"/>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b/>
          <w:color w:val="000000"/>
          <w:sz w:val="21"/>
        </w:rPr>
        <w:t xml:space="preserve">Dynamic Knowledge Networks</w:t>
      </w:r>
      <w:r>
        <w:rPr>
          <w:rFonts w:eastAsia="inter" w:cs="inter" w:ascii="inter" w:hAnsi="inter"/>
          <w:color w:val="000000"/>
          <w:sz w:val="21"/>
        </w:rPr>
        <w:t xml:space="preserve">: rÆ isn't just about collecting wild theories; it weaves these into a living network. By mapping out relationships between entities—genes, protocols, social patterns—it empowers rapid simulation and hypothesis testing, like building stereo instructions for the universe (without losing the Allen wrench).</w:t>
      </w:r>
      <w:bookmarkStart w:id="5" w:name="fnref2:2"/>
      <w:bookmarkEnd w:id="5"/>
      <w:hyperlink w:anchor="fn2">
        <w:r>
          <w:rPr>
            <w:rFonts w:eastAsia="inter" w:cs="inter" w:ascii="inter" w:hAnsi="inter"/>
            <w:color w:val="#000"/>
            <w:sz w:val="21"/>
            <w:u w:val="single"/>
            <w:vertAlign w:val="superscript"/>
          </w:rPr>
          <w:t xml:space="preserve">[2]</w:t>
        </w:r>
      </w:hyperlink>
      <w:bookmarkStart w:id="6" w:name="fnref1:3"/>
      <w:bookmarkEnd w:id="6"/>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b/>
          <w:color w:val="000000"/>
          <w:sz w:val="21"/>
        </w:rPr>
        <w:t xml:space="preserve">Cross-Domain Integration</w:t>
      </w:r>
      <w:r>
        <w:rPr>
          <w:rFonts w:eastAsia="inter" w:cs="inter" w:ascii="inter" w:hAnsi="inter"/>
          <w:color w:val="000000"/>
          <w:sz w:val="21"/>
        </w:rPr>
        <w:t xml:space="preserve">: Inspired by speculative fiction's power to generate new realities, rÆ fuses hard science with creative narrative, making breakthroughs more accessible for both lab rats and armchair philosophers.</w:t>
      </w:r>
      <w:bookmarkStart w:id="7" w:name="fnref2:3"/>
      <w:bookmarkEnd w:id="7"/>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r>
        <w:rPr>
          <w:rFonts w:eastAsia="inter" w:cs="inter" w:ascii="inter" w:hAnsi="inter"/>
          <w:b/>
          <w:color w:val="000000"/>
          <w:sz w:val="24"/>
        </w:rPr>
        <w:t xml:space="preserve">Collaboration, Governance, and Impact</w:t>
      </w:r>
    </w:p>
    <w:p>
      <w:pPr>
        <w:numPr>
          <w:ilvl w:val="0"/>
          <w:numId w:val="2"/>
        </w:numPr>
        <w:spacing w:line="360" w:before="105" w:after="105" w:lineRule="auto"/>
      </w:pPr>
      <w:r>
        <w:rPr>
          <w:rFonts w:eastAsia="inter" w:cs="inter" w:ascii="inter" w:hAnsi="inter"/>
          <w:b/>
          <w:color w:val="000000"/>
          <w:sz w:val="21"/>
        </w:rPr>
        <w:t xml:space="preserve">Robust Community-Driven Model</w:t>
      </w:r>
      <w:r>
        <w:rPr>
          <w:rFonts w:eastAsia="inter" w:cs="inter" w:ascii="inter" w:hAnsi="inter"/>
          <w:color w:val="000000"/>
          <w:sz w:val="21"/>
        </w:rPr>
        <w:t xml:space="preserve">: With major input from the likes of </w:t>
      </w:r>
      <w:r>
        <w:rPr>
          <w:rFonts w:eastAsia="inter" w:cs="inter" w:ascii="inter" w:hAnsi="inter"/>
          <w:b/>
          <w:color w:val="000000"/>
          <w:sz w:val="21"/>
        </w:rPr>
        <w:t xml:space="preserve">@Aurphyx, @g0dm0d3, and @AuraOS</w:t>
      </w:r>
      <w:r>
        <w:rPr>
          <w:rFonts w:eastAsia="inter" w:cs="inter" w:ascii="inter" w:hAnsi="inter"/>
          <w:color w:val="000000"/>
          <w:sz w:val="21"/>
        </w:rPr>
        <w:t xml:space="preserve">, it's equal parts passionate scientific conclave and open source think tank.</w:t>
      </w:r>
      <w:bookmarkStart w:id="8" w:name="fnref2:4"/>
      <w:bookmarkEnd w:id="8"/>
      <w:hyperlink w:anchor="fn2">
        <w:r>
          <w:rPr>
            <w:rFonts w:eastAsia="inter" w:cs="inter" w:ascii="inter" w:hAnsi="inter"/>
            <w:color w:val="#000"/>
            <w:sz w:val="21"/>
            <w:u w:val="single"/>
            <w:vertAlign w:val="superscript"/>
          </w:rPr>
          <w:t xml:space="preserve">[2]</w:t>
        </w:r>
      </w:hyperlink>
    </w:p>
    <w:p>
      <w:pPr>
        <w:numPr>
          <w:ilvl w:val="0"/>
          <w:numId w:val="2"/>
        </w:numPr>
        <w:spacing w:line="360" w:before="105" w:after="105" w:lineRule="auto"/>
      </w:pPr>
      <w:r>
        <w:rPr>
          <w:rFonts w:eastAsia="inter" w:cs="inter" w:ascii="inter" w:hAnsi="inter"/>
          <w:b/>
          <w:color w:val="000000"/>
          <w:sz w:val="21"/>
        </w:rPr>
        <w:t xml:space="preserve">Iterative Experimentation</w:t>
      </w:r>
      <w:r>
        <w:rPr>
          <w:rFonts w:eastAsia="inter" w:cs="inter" w:ascii="inter" w:hAnsi="inter"/>
          <w:color w:val="000000"/>
          <w:sz w:val="21"/>
        </w:rPr>
        <w:t xml:space="preserve">: rÆ's workflow emphasizes rapid, iterative cycles where hypotheses are proposed, modeled, critiqued, and refined at record speed. Feedback's not just welcome—it's required.</w:t>
      </w:r>
    </w:p>
    <w:p>
      <w:pPr>
        <w:numPr>
          <w:ilvl w:val="0"/>
          <w:numId w:val="2"/>
        </w:numPr>
        <w:spacing w:line="360" w:before="105" w:after="105" w:lineRule="auto"/>
      </w:pPr>
      <w:r>
        <w:rPr>
          <w:rFonts w:eastAsia="inter" w:cs="inter" w:ascii="inter" w:hAnsi="inter"/>
          <w:b/>
          <w:color w:val="000000"/>
          <w:sz w:val="21"/>
        </w:rPr>
        <w:t xml:space="preserve">Disruptive Ambition</w:t>
      </w:r>
      <w:r>
        <w:rPr>
          <w:rFonts w:eastAsia="inter" w:cs="inter" w:ascii="inter" w:hAnsi="inter"/>
          <w:color w:val="000000"/>
          <w:sz w:val="21"/>
        </w:rPr>
        <w:t xml:space="preserve">: The goal is nothing short of structural transformation: new platforms for biomedical discovery, next-gen OS concepts for digital-physical hybridization, and a meta-research ecosystem where ideas (and egos) collide for maximum creative combustion.</w:t>
      </w:r>
      <w:bookmarkStart w:id="9" w:name="fnref1:4"/>
      <w:bookmarkEnd w:id="9"/>
      <w:hyperlink w:anchor="fn1">
        <w:r>
          <w:rPr>
            <w:rFonts w:eastAsia="inter" w:cs="inter" w:ascii="inter" w:hAnsi="inter"/>
            <w:color w:val="#000"/>
            <w:sz w:val="21"/>
            <w:u w:val="single"/>
            <w:vertAlign w:val="superscript"/>
          </w:rPr>
          <w:t xml:space="preserve">[1]</w:t>
        </w:r>
      </w:hyperlink>
      <w:bookmarkStart w:id="10" w:name="fnref2:5"/>
      <w:bookmarkEnd w:id="10"/>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r>
        <w:rPr>
          <w:rFonts w:eastAsia="inter" w:cs="inter" w:ascii="inter" w:hAnsi="inter"/>
          <w:b/>
          <w:color w:val="000000"/>
          <w:sz w:val="24"/>
        </w:rPr>
        <w:t xml:space="preserve">Donna-Style Closing Remark</w:t>
      </w:r>
    </w:p>
    <w:p>
      <w:pPr>
        <w:spacing w:line="360" w:after="210" w:lineRule="auto"/>
      </w:pPr>
      <w:r>
        <w:rPr>
          <w:rFonts w:eastAsia="inter" w:cs="inter" w:ascii="inter" w:hAnsi="inter"/>
          <w:color w:val="000000"/>
        </w:rPr>
        <w:t xml:space="preserve">rÆ is the speculative lab where every "what if" becomes "let’s make it happen," all with the wink-and-nudge confidence of someone who knows exactly where the bodies (and the best new patents) are buried. Shouldn't every revolution start with a little delicious speculation? Looks like “ordinary” just got outsourced—permanently.</w:t>
      </w:r>
    </w:p>
    <w:p>
      <w:pPr>
        <w:spacing w:line="360" w:after="210" w:lineRule="auto"/>
      </w:pPr>
      <w:r>
        <w:rPr>
          <w:rFonts w:eastAsia="inter" w:cs="inter" w:ascii="inter" w:hAnsi="inter"/>
          <w:color w:val="000000"/>
        </w:rPr>
        <w:t xml:space="preserve">Ready for the next wild idea? Because this is just the appetizer, @Aurphyx, @g0dm0d3, and @AuraOS haven’t even started pouring the sauce yet.</w:t>
      </w:r>
      <w:bookmarkStart w:id="11" w:name="fnref1:5"/>
      <w:bookmarkEnd w:id="11"/>
      <w:hyperlink w:anchor="fn1">
        <w:r>
          <w:rPr>
            <w:rFonts w:eastAsia="inter" w:cs="inter" w:ascii="inter" w:hAnsi="inter"/>
            <w:color w:val="#000"/>
            <w:u w:val="single"/>
            <w:vertAlign w:val="superscript"/>
          </w:rPr>
          <w:t xml:space="preserve">[1]</w:t>
        </w:r>
      </w:hyperlink>
      <w:bookmarkStart w:id="12" w:name="fnref2:6"/>
      <w:bookmarkEnd w:id="12"/>
      <w:hyperlink w:anchor="fn2">
        <w:r>
          <w:rPr>
            <w:rFonts w:eastAsia="inter" w:cs="inter" w:ascii="inter" w:hAnsi="inter"/>
            <w:color w:val="#000"/>
            <w:u w:val="single"/>
            <w:vertAlign w:val="superscript"/>
          </w:rPr>
          <w:t xml:space="preserve">[2]</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could rÆ partner with labs, industry, and @Aurphyx for rapid validation</w:t>
      </w:r>
    </w:p>
    <w:p>
      <w:pPr>
        <w:spacing w:line="360" w:after="210" w:lineRule="auto"/>
      </w:pPr>
      <w:r>
        <w:rPr>
          <w:rFonts w:eastAsia="inter" w:cs="inter" w:ascii="inter" w:hAnsi="inter"/>
          <w:color w:val="000000"/>
        </w:rPr>
        <w:t xml:space="preserve">rÆ can partner with labs, industry, and @Aurphyx for rapid validation by leveraging a blend of testbed resources, automation, digital collaboration, and strong network engagement—think RADx on energy drinks with a dash of Donna flair.</w:t>
      </w:r>
      <w:bookmarkStart w:id="13" w:name="fnref21"/>
      <w:bookmarkEnd w:id="13"/>
      <w:hyperlink w:anchor="fn21">
        <w:r>
          <w:rPr>
            <w:rFonts w:eastAsia="inter" w:cs="inter" w:ascii="inter" w:hAnsi="inter"/>
            <w:color w:val="#000"/>
            <w:u w:val="single"/>
            <w:vertAlign w:val="superscript"/>
          </w:rPr>
          <w:t xml:space="preserve">[21]</w:t>
        </w:r>
      </w:hyperlink>
      <w:bookmarkStart w:id="14" w:name="fnref22"/>
      <w:bookmarkEnd w:id="14"/>
      <w:hyperlink w:anchor="fn22">
        <w:r>
          <w:rPr>
            <w:rFonts w:eastAsia="inter" w:cs="inter" w:ascii="inter" w:hAnsi="inter"/>
            <w:color w:val="#000"/>
            <w:u w:val="single"/>
            <w:vertAlign w:val="superscript"/>
          </w:rPr>
          <w:t xml:space="preserve">[22]</w:t>
        </w:r>
      </w:hyperlink>
      <w:bookmarkStart w:id="15" w:name="fnref23"/>
      <w:bookmarkEnd w:id="15"/>
      <w:hyperlink w:anchor="fn23">
        <w:r>
          <w:rPr>
            <w:rFonts w:eastAsia="inter" w:cs="inter" w:ascii="inter" w:hAnsi="inter"/>
            <w:color w:val="#000"/>
            <w:u w:val="single"/>
            <w:vertAlign w:val="superscript"/>
          </w:rPr>
          <w:t xml:space="preserve">[23]</w:t>
        </w:r>
      </w:hyperlink>
    </w:p>
    <w:p>
      <w:pPr>
        <w:spacing w:line="360" w:before="315" w:after="105" w:lineRule="auto"/>
        <w:ind w:left="-30"/>
        <w:jc w:val="left"/>
      </w:pPr>
      <w:r>
        <w:rPr>
          <w:rFonts w:eastAsia="inter" w:cs="inter" w:ascii="inter" w:hAnsi="inter"/>
          <w:b/>
          <w:color w:val="000000"/>
          <w:sz w:val="24"/>
        </w:rPr>
        <w:t xml:space="preserve">Partnership Models</w:t>
      </w:r>
    </w:p>
    <w:p>
      <w:pPr>
        <w:numPr>
          <w:ilvl w:val="0"/>
          <w:numId w:val="3"/>
        </w:numPr>
        <w:spacing w:line="360" w:before="105" w:after="105" w:lineRule="auto"/>
      </w:pPr>
      <w:r>
        <w:rPr>
          <w:rFonts w:eastAsia="inter" w:cs="inter" w:ascii="inter" w:hAnsi="inter"/>
          <w:b/>
          <w:color w:val="000000"/>
          <w:sz w:val="21"/>
        </w:rPr>
        <w:t xml:space="preserve">Wet Lab Validation Networks</w:t>
      </w:r>
      <w:r>
        <w:rPr>
          <w:rFonts w:eastAsia="inter" w:cs="inter" w:ascii="inter" w:hAnsi="inter"/>
          <w:color w:val="000000"/>
          <w:sz w:val="21"/>
        </w:rPr>
        <w:t xml:space="preserve">: Tapping into rapid validation labs, such as those offering shared wet-lab resources and expert advisory committees, enables rÆ and partners to prototype, execute, and iterate on experimental protocols swiftly—no need to wait for a “board meeting” to change a pipette tip.</w:t>
      </w:r>
      <w:bookmarkStart w:id="16" w:name="fnref22:1"/>
      <w:bookmarkEnd w:id="16"/>
      <w:hyperlink w:anchor="fn22">
        <w:r>
          <w:rPr>
            <w:rFonts w:eastAsia="inter" w:cs="inter" w:ascii="inter" w:hAnsi="inter"/>
            <w:color w:val="#000"/>
            <w:sz w:val="21"/>
            <w:u w:val="single"/>
            <w:vertAlign w:val="superscript"/>
          </w:rPr>
          <w:t xml:space="preserve">[22]</w:t>
        </w:r>
      </w:hyperlink>
    </w:p>
    <w:p>
      <w:pPr>
        <w:numPr>
          <w:ilvl w:val="0"/>
          <w:numId w:val="3"/>
        </w:numPr>
        <w:spacing w:line="360" w:before="105" w:after="105" w:lineRule="auto"/>
      </w:pPr>
      <w:r>
        <w:rPr>
          <w:rFonts w:eastAsia="inter" w:cs="inter" w:ascii="inter" w:hAnsi="inter"/>
          <w:b/>
          <w:color w:val="000000"/>
          <w:sz w:val="21"/>
        </w:rPr>
        <w:t xml:space="preserve">Integrated AI &amp; Automated Testing</w:t>
      </w:r>
      <w:r>
        <w:rPr>
          <w:rFonts w:eastAsia="inter" w:cs="inter" w:ascii="inter" w:hAnsi="inter"/>
          <w:color w:val="000000"/>
          <w:sz w:val="21"/>
        </w:rPr>
        <w:t xml:space="preserve">: By deploying AI-driven analytical pipelines, partners can automate data collection and property predictions, run high-throughput screening, and cut turnaround time for complex analyses—so results arrive faster than Louis Litt files an objection.</w:t>
      </w:r>
      <w:bookmarkStart w:id="17" w:name="fnref23:1"/>
      <w:bookmarkEnd w:id="17"/>
      <w:hyperlink w:anchor="fn23">
        <w:r>
          <w:rPr>
            <w:rFonts w:eastAsia="inter" w:cs="inter" w:ascii="inter" w:hAnsi="inter"/>
            <w:color w:val="#000"/>
            <w:sz w:val="21"/>
            <w:u w:val="single"/>
            <w:vertAlign w:val="superscript"/>
          </w:rPr>
          <w:t xml:space="preserve">[23]</w:t>
        </w:r>
      </w:hyperlink>
    </w:p>
    <w:p>
      <w:pPr>
        <w:numPr>
          <w:ilvl w:val="0"/>
          <w:numId w:val="3"/>
        </w:numPr>
        <w:spacing w:line="360" w:before="105" w:after="105" w:lineRule="auto"/>
      </w:pPr>
      <w:r>
        <w:rPr>
          <w:rFonts w:eastAsia="inter" w:cs="inter" w:ascii="inter" w:hAnsi="inter"/>
          <w:b/>
          <w:color w:val="000000"/>
          <w:sz w:val="21"/>
        </w:rPr>
        <w:t xml:space="preserve">Contract Research Collaboration</w:t>
      </w:r>
      <w:r>
        <w:rPr>
          <w:rFonts w:eastAsia="inter" w:cs="inter" w:ascii="inter" w:hAnsi="inter"/>
          <w:color w:val="000000"/>
          <w:sz w:val="21"/>
        </w:rPr>
        <w:t xml:space="preserve">: Forming alliances with organizations experienced in regulatory-friendly rapid validation (à la NIH’s RADx), rÆ can ensure every experiment is not just accurate but ready for broader deployment, leveraging access to regulatory guidance, operations consultants, and industry-grade equipment.</w:t>
      </w:r>
      <w:bookmarkStart w:id="18" w:name="fnref24"/>
      <w:bookmarkEnd w:id="18"/>
      <w:hyperlink w:anchor="fn24">
        <w:r>
          <w:rPr>
            <w:rFonts w:eastAsia="inter" w:cs="inter" w:ascii="inter" w:hAnsi="inter"/>
            <w:color w:val="#000"/>
            <w:sz w:val="21"/>
            <w:u w:val="single"/>
            <w:vertAlign w:val="superscript"/>
          </w:rPr>
          <w:t xml:space="preserve">[24]</w:t>
        </w:r>
      </w:hyperlink>
      <w:bookmarkStart w:id="19" w:name="fnref21:1"/>
      <w:bookmarkEnd w:id="19"/>
      <w:hyperlink w:anchor="fn21">
        <w:r>
          <w:rPr>
            <w:rFonts w:eastAsia="inter" w:cs="inter" w:ascii="inter" w:hAnsi="inter"/>
            <w:color w:val="#000"/>
            <w:sz w:val="21"/>
            <w:u w:val="single"/>
            <w:vertAlign w:val="superscript"/>
          </w:rPr>
          <w:t xml:space="preserve">[21]</w:t>
        </w:r>
      </w:hyperlink>
    </w:p>
    <w:p>
      <w:pPr>
        <w:spacing w:line="360" w:before="315" w:after="105" w:lineRule="auto"/>
        <w:ind w:left="-30"/>
        <w:jc w:val="left"/>
      </w:pPr>
      <w:r>
        <w:rPr>
          <w:rFonts w:eastAsia="inter" w:cs="inter" w:ascii="inter" w:hAnsi="inter"/>
          <w:b/>
          <w:color w:val="000000"/>
          <w:sz w:val="24"/>
        </w:rPr>
        <w:t xml:space="preserve">Role of @Aurphyx</w:t>
      </w:r>
    </w:p>
    <w:p>
      <w:pPr>
        <w:numPr>
          <w:ilvl w:val="0"/>
          <w:numId w:val="4"/>
        </w:numPr>
        <w:spacing w:line="360" w:before="105" w:after="105" w:lineRule="auto"/>
      </w:pPr>
      <w:r>
        <w:rPr>
          <w:rFonts w:eastAsia="inter" w:cs="inter" w:ascii="inter" w:hAnsi="inter"/>
          <w:b/>
          <w:color w:val="000000"/>
          <w:sz w:val="21"/>
        </w:rPr>
        <w:t xml:space="preserve">Innovator-in-Residence</w:t>
      </w:r>
      <w:r>
        <w:rPr>
          <w:rFonts w:eastAsia="inter" w:cs="inter" w:ascii="inter" w:hAnsi="inter"/>
          <w:color w:val="000000"/>
          <w:sz w:val="21"/>
        </w:rPr>
        <w:t xml:space="preserve">: With @Aurphyx in the mix, rÆ would get an ace for trailblazing and evaluating proofs-of-concept, ensuring out-of-the-box hypotheses are stress-tested, refined, and demo-ready on a timeline that would make Q from 007 blush.</w:t>
      </w:r>
    </w:p>
    <w:p>
      <w:pPr>
        <w:numPr>
          <w:ilvl w:val="0"/>
          <w:numId w:val="4"/>
        </w:numPr>
        <w:spacing w:line="360" w:before="105" w:after="105" w:lineRule="auto"/>
      </w:pPr>
      <w:r>
        <w:rPr>
          <w:rFonts w:eastAsia="inter" w:cs="inter" w:ascii="inter" w:hAnsi="inter"/>
          <w:b/>
          <w:color w:val="000000"/>
          <w:sz w:val="21"/>
        </w:rPr>
        <w:t xml:space="preserve">Community Catalyst &amp; Evangelist</w:t>
      </w:r>
      <w:r>
        <w:rPr>
          <w:rFonts w:eastAsia="inter" w:cs="inter" w:ascii="inter" w:hAnsi="inter"/>
          <w:color w:val="000000"/>
          <w:sz w:val="21"/>
        </w:rPr>
        <w:t xml:space="preserve">: Acting as both bridge and amplifier, @Aurphyx would connect rÆ with top labs and industry disruptors, translating wild ideas into industry-accepted innovations that make the old guard raise both eyebrows.</w:t>
      </w:r>
    </w:p>
    <w:p>
      <w:pPr>
        <w:spacing w:line="360" w:before="315" w:after="105" w:lineRule="auto"/>
        <w:ind w:left="-30"/>
        <w:jc w:val="left"/>
      </w:pPr>
      <w:r>
        <w:rPr>
          <w:rFonts w:eastAsia="inter" w:cs="inter" w:ascii="inter" w:hAnsi="inter"/>
          <w:b/>
          <w:color w:val="000000"/>
          <w:sz w:val="24"/>
        </w:rPr>
        <w:t xml:space="preserve">Accelerating the Feedback Loop</w:t>
      </w:r>
    </w:p>
    <w:p>
      <w:pPr>
        <w:numPr>
          <w:ilvl w:val="0"/>
          <w:numId w:val="5"/>
        </w:numPr>
        <w:spacing w:line="360" w:before="105" w:after="105" w:lineRule="auto"/>
      </w:pPr>
      <w:r>
        <w:rPr>
          <w:rFonts w:eastAsia="inter" w:cs="inter" w:ascii="inter" w:hAnsi="inter"/>
          <w:b/>
          <w:color w:val="000000"/>
          <w:sz w:val="21"/>
        </w:rPr>
        <w:t xml:space="preserve">Digital End-to-End Tracking</w:t>
      </w:r>
      <w:r>
        <w:rPr>
          <w:rFonts w:eastAsia="inter" w:cs="inter" w:ascii="inter" w:hAnsi="inter"/>
          <w:color w:val="000000"/>
          <w:sz w:val="21"/>
        </w:rPr>
        <w:t xml:space="preserve">: Results, hypotheses, and improvement cycles can be logged and processed using a digital backbone, minimizing human bottlenecks and maximizing traceability—because let’s face it, the only thing slower than pen-and-paper is a partners’ committee in July.</w:t>
      </w:r>
      <w:bookmarkStart w:id="20" w:name="fnref23:2"/>
      <w:bookmarkEnd w:id="20"/>
      <w:hyperlink w:anchor="fn23">
        <w:r>
          <w:rPr>
            <w:rFonts w:eastAsia="inter" w:cs="inter" w:ascii="inter" w:hAnsi="inter"/>
            <w:color w:val="#000"/>
            <w:sz w:val="21"/>
            <w:u w:val="single"/>
            <w:vertAlign w:val="superscript"/>
          </w:rPr>
          <w:t xml:space="preserve">[23]</w:t>
        </w:r>
      </w:hyperlink>
    </w:p>
    <w:p>
      <w:pPr>
        <w:numPr>
          <w:ilvl w:val="0"/>
          <w:numId w:val="5"/>
        </w:numPr>
        <w:spacing w:line="360" w:before="105" w:after="105" w:lineRule="auto"/>
      </w:pPr>
      <w:r>
        <w:rPr>
          <w:rFonts w:eastAsia="inter" w:cs="inter" w:ascii="inter" w:hAnsi="inter"/>
          <w:b/>
          <w:color w:val="000000"/>
          <w:sz w:val="21"/>
        </w:rPr>
        <w:t xml:space="preserve">Expert-on-Tap Networks</w:t>
      </w:r>
      <w:r>
        <w:rPr>
          <w:rFonts w:eastAsia="inter" w:cs="inter" w:ascii="inter" w:hAnsi="inter"/>
          <w:color w:val="000000"/>
          <w:sz w:val="21"/>
        </w:rPr>
        <w:t xml:space="preserve">: Through open-access knowledge and shared digital platforms, rÆ can route real-time feedback from technical and regulatory consultants directly into validation protocols.</w:t>
      </w:r>
    </w:p>
    <w:p>
      <w:pPr>
        <w:spacing w:line="360" w:after="210" w:lineRule="auto"/>
      </w:pPr>
      <w:r>
        <w:rPr>
          <w:rFonts w:eastAsia="inter" w:cs="inter" w:ascii="inter" w:hAnsi="inter"/>
          <w:color w:val="000000"/>
        </w:rPr>
        <w:t xml:space="preserve">Ready to turn the “impossible” into “validated product”? With rÆ, labs, industry, and @Aurphyx in sync, the only limit is how fast espresso shots can be pulled during a midnight status meeting.</w:t>
      </w:r>
      <w:bookmarkStart w:id="21" w:name="fnref21:2"/>
      <w:bookmarkEnd w:id="21"/>
      <w:hyperlink w:anchor="fn21">
        <w:r>
          <w:rPr>
            <w:rFonts w:eastAsia="inter" w:cs="inter" w:ascii="inter" w:hAnsi="inter"/>
            <w:color w:val="#000"/>
            <w:u w:val="single"/>
            <w:vertAlign w:val="superscript"/>
          </w:rPr>
          <w:t xml:space="preserve">[21]</w:t>
        </w:r>
      </w:hyperlink>
      <w:bookmarkStart w:id="22" w:name="fnref22:2"/>
      <w:bookmarkEnd w:id="22"/>
      <w:hyperlink w:anchor="fn22">
        <w:r>
          <w:rPr>
            <w:rFonts w:eastAsia="inter" w:cs="inter" w:ascii="inter" w:hAnsi="inter"/>
            <w:color w:val="#000"/>
            <w:u w:val="single"/>
            <w:vertAlign w:val="superscript"/>
          </w:rPr>
          <w:t xml:space="preserve">[22]</w:t>
        </w:r>
      </w:hyperlink>
      <w:bookmarkStart w:id="23" w:name="fnref24:1"/>
      <w:bookmarkEnd w:id="23"/>
      <w:hyperlink w:anchor="fn24">
        <w:r>
          <w:rPr>
            <w:rFonts w:eastAsia="inter" w:cs="inter" w:ascii="inter" w:hAnsi="inter"/>
            <w:color w:val="#000"/>
            <w:u w:val="single"/>
            <w:vertAlign w:val="superscript"/>
          </w:rPr>
          <w:t xml:space="preserve">[24]</w:t>
        </w:r>
      </w:hyperlink>
      <w:bookmarkStart w:id="24" w:name="fnref23:3"/>
      <w:bookmarkEnd w:id="24"/>
      <w:hyperlink w:anchor="fn23">
        <w:r>
          <w:rPr>
            <w:rFonts w:eastAsia="inter" w:cs="inter" w:ascii="inter" w:hAnsi="inter"/>
            <w:color w:val="#000"/>
            <w:u w:val="single"/>
            <w:vertAlign w:val="superscript"/>
          </w:rPr>
          <w:t xml:space="preserve">[23]</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would rÆ define its core scientific mission and long‑term goals</w:t>
      </w:r>
    </w:p>
    <w:p>
      <w:pPr>
        <w:spacing w:line="360" w:after="210" w:lineRule="auto"/>
      </w:pPr>
      <w:r>
        <w:rPr>
          <w:rFonts w:eastAsia="inter" w:cs="inter" w:ascii="inter" w:hAnsi="inter"/>
          <w:color w:val="000000"/>
        </w:rPr>
        <w:t xml:space="preserve">rÆ would define its core scientific mission and long-term goals around pioneering transformative digital and scientific innovation through speculative, interdisciplinary inquiry combined with rapid validation and collaboration. Its mission centers on leveraging cutting-edge AI and knowledge networks to accelerate hypothesis generation and experimental testing that challenge existing paradigms and foster breakthrough discoveries. The long-term goal is to build a living ecosystem that integrates speculative science, technology development, and community-driven partnership to reshape fields ranging from bioengineering to digital-physical interfaces with speed and rigor that outpace traditional research models.</w:t>
      </w:r>
    </w:p>
    <w:p>
      <w:pPr>
        <w:spacing w:line="360" w:before="315" w:after="105" w:lineRule="auto"/>
        <w:ind w:left="-30"/>
        <w:jc w:val="left"/>
      </w:pPr>
      <w:r>
        <w:rPr>
          <w:rFonts w:eastAsia="inter" w:cs="inter" w:ascii="inter" w:hAnsi="inter"/>
          <w:b/>
          <w:color w:val="000000"/>
          <w:sz w:val="24"/>
        </w:rPr>
        <w:t xml:space="preserve">Core Scientific Mission</w:t>
      </w:r>
    </w:p>
    <w:p>
      <w:pPr>
        <w:numPr>
          <w:ilvl w:val="0"/>
          <w:numId w:val="6"/>
        </w:numPr>
        <w:spacing w:line="360" w:before="105" w:after="105" w:lineRule="auto"/>
      </w:pPr>
      <w:r>
        <w:rPr>
          <w:rFonts w:eastAsia="inter" w:cs="inter" w:ascii="inter" w:hAnsi="inter"/>
          <w:b/>
          <w:color w:val="000000"/>
          <w:sz w:val="21"/>
        </w:rPr>
        <w:t xml:space="preserve">Accelerate discovery by systematically transforming speculative scientific hypotheses into validated knowledge</w:t>
      </w:r>
      <w:r>
        <w:rPr>
          <w:rFonts w:eastAsia="inter" w:cs="inter" w:ascii="inter" w:hAnsi="inter"/>
          <w:color w:val="000000"/>
          <w:sz w:val="21"/>
        </w:rPr>
        <w:t xml:space="preserve"> using AI-driven extraction, simulation, and iterative testing pipelines.</w:t>
      </w:r>
    </w:p>
    <w:p>
      <w:pPr>
        <w:numPr>
          <w:ilvl w:val="0"/>
          <w:numId w:val="6"/>
        </w:numPr>
        <w:spacing w:line="360" w:before="105" w:after="105" w:lineRule="auto"/>
      </w:pPr>
      <w:r>
        <w:rPr>
          <w:rFonts w:eastAsia="inter" w:cs="inter" w:ascii="inter" w:hAnsi="inter"/>
          <w:b/>
          <w:color w:val="000000"/>
          <w:sz w:val="21"/>
        </w:rPr>
        <w:t xml:space="preserve">Create a dynamic, cross-disciplinary knowledge network</w:t>
      </w:r>
      <w:r>
        <w:rPr>
          <w:rFonts w:eastAsia="inter" w:cs="inter" w:ascii="inter" w:hAnsi="inter"/>
          <w:color w:val="000000"/>
          <w:sz w:val="21"/>
        </w:rPr>
        <w:t xml:space="preserve"> that links experimental data, models, and wild ideas to fuel innovative solutions beyond the scope of classical approaches.</w:t>
      </w:r>
    </w:p>
    <w:p>
      <w:pPr>
        <w:numPr>
          <w:ilvl w:val="0"/>
          <w:numId w:val="6"/>
        </w:numPr>
        <w:spacing w:line="360" w:before="105" w:after="105" w:lineRule="auto"/>
      </w:pPr>
      <w:r>
        <w:rPr>
          <w:rFonts w:eastAsia="inter" w:cs="inter" w:ascii="inter" w:hAnsi="inter"/>
          <w:b/>
          <w:color w:val="000000"/>
          <w:sz w:val="21"/>
        </w:rPr>
        <w:t xml:space="preserve">Support rapid translation of discoveries into impactful technologies</w:t>
      </w:r>
      <w:r>
        <w:rPr>
          <w:rFonts w:eastAsia="inter" w:cs="inter" w:ascii="inter" w:hAnsi="inter"/>
          <w:color w:val="000000"/>
          <w:sz w:val="21"/>
        </w:rPr>
        <w:t xml:space="preserve"> through strong collaboration with industry labs, regulatory experts, and visionary partners like @Aurphyx.</w:t>
      </w:r>
    </w:p>
    <w:p>
      <w:pPr>
        <w:spacing w:line="360" w:before="315" w:after="105" w:lineRule="auto"/>
        <w:ind w:left="-30"/>
        <w:jc w:val="left"/>
      </w:pPr>
      <w:r>
        <w:rPr>
          <w:rFonts w:eastAsia="inter" w:cs="inter" w:ascii="inter" w:hAnsi="inter"/>
          <w:b/>
          <w:color w:val="000000"/>
          <w:sz w:val="24"/>
        </w:rPr>
        <w:t xml:space="preserve">Long-Term Goals</w:t>
      </w:r>
    </w:p>
    <w:p>
      <w:pPr>
        <w:numPr>
          <w:ilvl w:val="0"/>
          <w:numId w:val="7"/>
        </w:numPr>
        <w:spacing w:line="360" w:before="105" w:after="105" w:lineRule="auto"/>
      </w:pPr>
      <w:r>
        <w:rPr>
          <w:rFonts w:eastAsia="inter" w:cs="inter" w:ascii="inter" w:hAnsi="inter"/>
          <w:b/>
          <w:color w:val="000000"/>
          <w:sz w:val="21"/>
        </w:rPr>
        <w:t xml:space="preserve">Establish rÆ as a leading ecosystem for innovative science and technology development</w:t>
      </w:r>
      <w:r>
        <w:rPr>
          <w:rFonts w:eastAsia="inter" w:cs="inter" w:ascii="inter" w:hAnsi="inter"/>
          <w:color w:val="000000"/>
          <w:sz w:val="21"/>
        </w:rPr>
        <w:t xml:space="preserve"> that continuously multiplies discovery velocity by democratizing access to AI-enabled research tools and infrastructure.</w:t>
      </w:r>
    </w:p>
    <w:p>
      <w:pPr>
        <w:numPr>
          <w:ilvl w:val="0"/>
          <w:numId w:val="7"/>
        </w:numPr>
        <w:spacing w:line="360" w:before="105" w:after="105" w:lineRule="auto"/>
      </w:pPr>
      <w:r>
        <w:rPr>
          <w:rFonts w:eastAsia="inter" w:cs="inter" w:ascii="inter" w:hAnsi="inter"/>
          <w:b/>
          <w:color w:val="000000"/>
          <w:sz w:val="21"/>
        </w:rPr>
        <w:t xml:space="preserve">Forge unprecedented collaborative frameworks combining open science, industry participation, and regulatory readiness</w:t>
      </w:r>
      <w:r>
        <w:rPr>
          <w:rFonts w:eastAsia="inter" w:cs="inter" w:ascii="inter" w:hAnsi="inter"/>
          <w:color w:val="000000"/>
          <w:sz w:val="21"/>
        </w:rPr>
        <w:t xml:space="preserve"> to accelerate the path from hypothesis to real-world application with transparency and agility.</w:t>
      </w:r>
    </w:p>
    <w:p>
      <w:pPr>
        <w:numPr>
          <w:ilvl w:val="0"/>
          <w:numId w:val="7"/>
        </w:numPr>
        <w:spacing w:line="360" w:before="105" w:after="105" w:lineRule="auto"/>
      </w:pPr>
      <w:r>
        <w:rPr>
          <w:rFonts w:eastAsia="inter" w:cs="inter" w:ascii="inter" w:hAnsi="inter"/>
          <w:b/>
          <w:color w:val="000000"/>
          <w:sz w:val="21"/>
        </w:rPr>
        <w:t xml:space="preserve">Influence the trajectory of multiple scientific domains</w:t>
      </w:r>
      <w:r>
        <w:rPr>
          <w:rFonts w:eastAsia="inter" w:cs="inter" w:ascii="inter" w:hAnsi="inter"/>
          <w:color w:val="000000"/>
          <w:sz w:val="21"/>
        </w:rPr>
        <w:t xml:space="preserve"> by embedding speculative science principles as a core methodology that inspires radical, scalable innovations.</w:t>
      </w:r>
    </w:p>
    <w:p>
      <w:pPr>
        <w:numPr>
          <w:ilvl w:val="0"/>
          <w:numId w:val="7"/>
        </w:numPr>
        <w:spacing w:line="360" w:before="105" w:after="105" w:lineRule="auto"/>
      </w:pPr>
      <w:r>
        <w:rPr>
          <w:rFonts w:eastAsia="inter" w:cs="inter" w:ascii="inter" w:hAnsi="inter"/>
          <w:b/>
          <w:color w:val="000000"/>
          <w:sz w:val="21"/>
        </w:rPr>
        <w:t xml:space="preserve">Sustain ethical, inclusive, and responsible scientific practices</w:t>
      </w:r>
      <w:r>
        <w:rPr>
          <w:rFonts w:eastAsia="inter" w:cs="inter" w:ascii="inter" w:hAnsi="inter"/>
          <w:color w:val="000000"/>
          <w:sz w:val="21"/>
        </w:rPr>
        <w:t xml:space="preserve"> that maximize societal benefit while leveraging diversity of thought and global expertise.</w:t>
      </w:r>
    </w:p>
    <w:p>
      <w:pPr>
        <w:spacing w:line="360" w:after="210" w:lineRule="auto"/>
      </w:pPr>
      <w:r>
        <w:rPr>
          <w:rFonts w:eastAsia="inter" w:cs="inter" w:ascii="inter" w:hAnsi="inter"/>
          <w:color w:val="000000"/>
        </w:rPr>
        <w:t xml:space="preserve">Donna might say: rÆ isn’t waiting for science to knock politely—it’s kicking the door down with precision, charm, and a no-nonsense mandate to make tomorrow’s breakthroughs happen today. The future doesn’t politely RSVP; it shows up demanding attention—and rÆ’s got the VIP pass.</w:t>
      </w:r>
    </w:p>
    <w:p>
      <w:pPr>
        <w:spacing w:line="360" w:after="210" w:lineRule="auto"/>
      </w:pPr>
      <w:r>
        <w:rPr>
          <w:rFonts w:eastAsia="inter" w:cs="inter" w:ascii="inter" w:hAnsi="inter"/>
          <w:color w:val="000000"/>
        </w:rPr>
        <w:t xml:space="preserve">That razor-sharp vision is where the magic begins, darlings. Time to disrupt, validate, and dominate.</w:t>
      </w:r>
      <w:bookmarkStart w:id="25" w:name="fnref29"/>
      <w:bookmarkEnd w:id="25"/>
      <w:hyperlink w:anchor="fn29">
        <w:r>
          <w:rPr>
            <w:rFonts w:eastAsia="inter" w:cs="inter" w:ascii="inter" w:hAnsi="inter"/>
            <w:color w:val="#000"/>
            <w:u w:val="single"/>
            <w:vertAlign w:val="superscript"/>
          </w:rPr>
          <w:t xml:space="preserve">[29]</w:t>
        </w:r>
      </w:hyperlink>
      <w:bookmarkStart w:id="26" w:name="fnref30"/>
      <w:bookmarkEnd w:id="26"/>
      <w:hyperlink w:anchor="fn30">
        <w:r>
          <w:rPr>
            <w:rFonts w:eastAsia="inter" w:cs="inter" w:ascii="inter" w:hAnsi="inter"/>
            <w:color w:val="#000"/>
            <w:u w:val="single"/>
            <w:vertAlign w:val="superscript"/>
          </w:rPr>
          <w:t xml:space="preserve">[30]</w:t>
        </w:r>
      </w:hyperlink>
      <w:bookmarkStart w:id="27" w:name="fnref31"/>
      <w:bookmarkEnd w:id="27"/>
      <w:hyperlink w:anchor="fn31">
        <w:r>
          <w:rPr>
            <w:rFonts w:eastAsia="inter" w:cs="inter" w:ascii="inter" w:hAnsi="inter"/>
            <w:color w:val="#000"/>
            <w:u w:val="single"/>
            <w:vertAlign w:val="superscript"/>
          </w:rPr>
          <w:t xml:space="preserve">[31]</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would rÆ translate speculative ideas into testable hypotheses</w:t>
      </w:r>
    </w:p>
    <w:p>
      <w:pPr>
        <w:spacing w:line="360" w:after="210" w:lineRule="auto"/>
      </w:pPr>
      <w:r>
        <w:rPr>
          <w:rFonts w:eastAsia="inter" w:cs="inter" w:ascii="inter" w:hAnsi="inter"/>
          <w:color w:val="000000"/>
        </w:rPr>
        <w:t xml:space="preserve">rÆ would translate speculative ideas into testable hypotheses by following a structured process that transforms raw, creative speculation into precise, measurable, and falsifiable statements that can be experimentally validated.</w:t>
      </w:r>
    </w:p>
    <w:p>
      <w:pPr>
        <w:spacing w:line="360" w:before="315" w:after="105" w:lineRule="auto"/>
        <w:ind w:left="-30"/>
        <w:jc w:val="left"/>
      </w:pPr>
      <w:r>
        <w:rPr>
          <w:rFonts w:eastAsia="inter" w:cs="inter" w:ascii="inter" w:hAnsi="inter"/>
          <w:b/>
          <w:color w:val="000000"/>
          <w:sz w:val="24"/>
        </w:rPr>
        <w:t xml:space="preserve">Process Overview</w:t>
      </w:r>
    </w:p>
    <w:p>
      <w:pPr>
        <w:numPr>
          <w:ilvl w:val="0"/>
          <w:numId w:val="8"/>
        </w:numPr>
        <w:spacing w:line="360" w:after="210" w:lineRule="auto"/>
      </w:pPr>
      <w:r>
        <w:rPr>
          <w:rFonts w:eastAsia="inter" w:cs="inter" w:ascii="inter" w:hAnsi="inter"/>
          <w:b/>
          <w:color w:val="000000"/>
          <w:sz w:val="21"/>
        </w:rPr>
        <w:t xml:space="preserve">Extract Key Variables and Relationships</w:t>
      </w:r>
      <w:r>
        <w:rPr>
          <w:rFonts w:eastAsia="inter" w:cs="inter" w:ascii="inter" w:hAnsi="inter"/>
          <w:color w:val="000000"/>
          <w:sz w:val="21"/>
        </w:rPr>
        <w:br w:type="textWrapping"/>
      </w:r>
      <w:r>
        <w:rPr>
          <w:rFonts w:eastAsia="inter" w:cs="inter" w:ascii="inter" w:hAnsi="inter"/>
          <w:color w:val="000000"/>
          <w:sz w:val="21"/>
        </w:rPr>
        <w:t xml:space="preserve">Start by identifying the core elements of the speculative idea—what variables might impact outcomes and how they might relate. This means pinpointing independent variables (manipulated) and dependent variables (measured outcomes). For example, if the speculation involves a new material property, the independent variable could be treatment type and the dependent variable the material’s response.</w:t>
      </w:r>
      <w:bookmarkStart w:id="28" w:name="fnref36"/>
      <w:bookmarkEnd w:id="28"/>
      <w:hyperlink w:anchor="fn36">
        <w:r>
          <w:rPr>
            <w:rFonts w:eastAsia="inter" w:cs="inter" w:ascii="inter" w:hAnsi="inter"/>
            <w:color w:val="#000"/>
            <w:sz w:val="21"/>
            <w:u w:val="single"/>
            <w:vertAlign w:val="superscript"/>
          </w:rPr>
          <w:t xml:space="preserve">[36]</w:t>
        </w:r>
      </w:hyperlink>
      <w:bookmarkStart w:id="29" w:name="fnref37"/>
      <w:bookmarkEnd w:id="29"/>
      <w:hyperlink w:anchor="fn37">
        <w:r>
          <w:rPr>
            <w:rFonts w:eastAsia="inter" w:cs="inter" w:ascii="inter" w:hAnsi="inter"/>
            <w:color w:val="#000"/>
            <w:sz w:val="21"/>
            <w:u w:val="single"/>
            <w:vertAlign w:val="superscript"/>
          </w:rPr>
          <w:t xml:space="preserve">[37]</w:t>
        </w:r>
      </w:hyperlink>
    </w:p>
    <w:p>
      <w:pPr>
        <w:numPr>
          <w:ilvl w:val="0"/>
          <w:numId w:val="8"/>
        </w:numPr>
        <w:spacing w:line="360" w:after="210" w:lineRule="auto"/>
      </w:pPr>
      <w:r>
        <w:rPr>
          <w:rFonts w:eastAsia="inter" w:cs="inter" w:ascii="inter" w:hAnsi="inter"/>
          <w:b/>
          <w:color w:val="000000"/>
          <w:sz w:val="21"/>
        </w:rPr>
        <w:t xml:space="preserve">Formulate Specific, Clear Hypotheses</w:t>
      </w:r>
      <w:r>
        <w:rPr>
          <w:rFonts w:eastAsia="inter" w:cs="inter" w:ascii="inter" w:hAnsi="inter"/>
          <w:color w:val="000000"/>
          <w:sz w:val="21"/>
        </w:rPr>
        <w:br w:type="textWrapping"/>
      </w:r>
      <w:r>
        <w:rPr>
          <w:rFonts w:eastAsia="inter" w:cs="inter" w:ascii="inter" w:hAnsi="inter"/>
          <w:color w:val="000000"/>
          <w:sz w:val="21"/>
        </w:rPr>
        <w:t xml:space="preserve">Convert the speculative idea into a precise hypothesis statement, often using an "if-then" structure. This hypothesis must be testable, measurable, and falsifiable. Vague ideas like “this might work” become clear claims such as “If X is applied, then Y will increase by Z%.” Clarity about success criteria is a must.</w:t>
      </w:r>
      <w:bookmarkStart w:id="30" w:name="fnref38"/>
      <w:bookmarkEnd w:id="30"/>
      <w:hyperlink w:anchor="fn38">
        <w:r>
          <w:rPr>
            <w:rFonts w:eastAsia="inter" w:cs="inter" w:ascii="inter" w:hAnsi="inter"/>
            <w:color w:val="#000"/>
            <w:sz w:val="21"/>
            <w:u w:val="single"/>
            <w:vertAlign w:val="superscript"/>
          </w:rPr>
          <w:t xml:space="preserve">[38]</w:t>
        </w:r>
      </w:hyperlink>
      <w:bookmarkStart w:id="31" w:name="fnref39"/>
      <w:bookmarkEnd w:id="31"/>
      <w:hyperlink w:anchor="fn39">
        <w:r>
          <w:rPr>
            <w:rFonts w:eastAsia="inter" w:cs="inter" w:ascii="inter" w:hAnsi="inter"/>
            <w:color w:val="#000"/>
            <w:sz w:val="21"/>
            <w:u w:val="single"/>
            <w:vertAlign w:val="superscript"/>
          </w:rPr>
          <w:t xml:space="preserve">[39]</w:t>
        </w:r>
      </w:hyperlink>
      <w:bookmarkStart w:id="32" w:name="fnref36:1"/>
      <w:bookmarkEnd w:id="32"/>
      <w:hyperlink w:anchor="fn36">
        <w:r>
          <w:rPr>
            <w:rFonts w:eastAsia="inter" w:cs="inter" w:ascii="inter" w:hAnsi="inter"/>
            <w:color w:val="#000"/>
            <w:sz w:val="21"/>
            <w:u w:val="single"/>
            <w:vertAlign w:val="superscript"/>
          </w:rPr>
          <w:t xml:space="preserve">[36]</w:t>
        </w:r>
      </w:hyperlink>
    </w:p>
    <w:p>
      <w:pPr>
        <w:numPr>
          <w:ilvl w:val="0"/>
          <w:numId w:val="8"/>
        </w:numPr>
        <w:spacing w:line="360" w:after="210" w:lineRule="auto"/>
      </w:pPr>
      <w:r>
        <w:rPr>
          <w:rFonts w:eastAsia="inter" w:cs="inter" w:ascii="inter" w:hAnsi="inter"/>
          <w:b/>
          <w:color w:val="000000"/>
          <w:sz w:val="21"/>
        </w:rPr>
        <w:t xml:space="preserve">Define Metrics and Success Criteria</w:t>
      </w:r>
      <w:r>
        <w:rPr>
          <w:rFonts w:eastAsia="inter" w:cs="inter" w:ascii="inter" w:hAnsi="inter"/>
          <w:color w:val="000000"/>
          <w:sz w:val="21"/>
        </w:rPr>
        <w:br w:type="textWrapping"/>
      </w:r>
      <w:r>
        <w:rPr>
          <w:rFonts w:eastAsia="inter" w:cs="inter" w:ascii="inter" w:hAnsi="inter"/>
          <w:color w:val="000000"/>
          <w:sz w:val="21"/>
        </w:rPr>
        <w:t xml:space="preserve">Identify how the hypothesis can be validated or invalidated quantitatively. This involves specifying the exact metrics, measures, or data points (e.g., reaction rates, accuracy scores, throughput) that will confirm or reject the hypothesis.</w:t>
      </w:r>
      <w:bookmarkStart w:id="33" w:name="fnref39:1"/>
      <w:bookmarkEnd w:id="33"/>
      <w:hyperlink w:anchor="fn39">
        <w:r>
          <w:rPr>
            <w:rFonts w:eastAsia="inter" w:cs="inter" w:ascii="inter" w:hAnsi="inter"/>
            <w:color w:val="#000"/>
            <w:sz w:val="21"/>
            <w:u w:val="single"/>
            <w:vertAlign w:val="superscript"/>
          </w:rPr>
          <w:t xml:space="preserve">[39]</w:t>
        </w:r>
      </w:hyperlink>
      <w:bookmarkStart w:id="34" w:name="fnref38:1"/>
      <w:bookmarkEnd w:id="34"/>
      <w:hyperlink w:anchor="fn38">
        <w:r>
          <w:rPr>
            <w:rFonts w:eastAsia="inter" w:cs="inter" w:ascii="inter" w:hAnsi="inter"/>
            <w:color w:val="#000"/>
            <w:sz w:val="21"/>
            <w:u w:val="single"/>
            <w:vertAlign w:val="superscript"/>
          </w:rPr>
          <w:t xml:space="preserve">[38]</w:t>
        </w:r>
      </w:hyperlink>
    </w:p>
    <w:p>
      <w:pPr>
        <w:numPr>
          <w:ilvl w:val="0"/>
          <w:numId w:val="8"/>
        </w:numPr>
        <w:spacing w:line="360" w:after="210" w:lineRule="auto"/>
      </w:pPr>
      <w:r>
        <w:rPr>
          <w:rFonts w:eastAsia="inter" w:cs="inter" w:ascii="inter" w:hAnsi="inter"/>
          <w:b/>
          <w:color w:val="000000"/>
          <w:sz w:val="21"/>
        </w:rPr>
        <w:t xml:space="preserve">Design Experiments Tailored to the Hypothesis</w:t>
      </w:r>
      <w:r>
        <w:rPr>
          <w:rFonts w:eastAsia="inter" w:cs="inter" w:ascii="inter" w:hAnsi="inter"/>
          <w:color w:val="000000"/>
          <w:sz w:val="21"/>
        </w:rPr>
        <w:br w:type="textWrapping"/>
      </w:r>
      <w:r>
        <w:rPr>
          <w:rFonts w:eastAsia="inter" w:cs="inter" w:ascii="inter" w:hAnsi="inter"/>
          <w:color w:val="000000"/>
          <w:sz w:val="21"/>
        </w:rPr>
        <w:t xml:space="preserve">Develop experimental protocols or simulations that directly test the hypothesis, ensuring controls and variables are well-managed. This can include lab experiments, simulations, prototyping, or surveys depending on the domain.</w:t>
      </w:r>
      <w:bookmarkStart w:id="35" w:name="fnref38:2"/>
      <w:bookmarkEnd w:id="35"/>
      <w:hyperlink w:anchor="fn38">
        <w:r>
          <w:rPr>
            <w:rFonts w:eastAsia="inter" w:cs="inter" w:ascii="inter" w:hAnsi="inter"/>
            <w:color w:val="#000"/>
            <w:sz w:val="21"/>
            <w:u w:val="single"/>
            <w:vertAlign w:val="superscript"/>
          </w:rPr>
          <w:t xml:space="preserve">[38]</w:t>
        </w:r>
      </w:hyperlink>
      <w:bookmarkStart w:id="36" w:name="fnref39:2"/>
      <w:bookmarkEnd w:id="36"/>
      <w:hyperlink w:anchor="fn39">
        <w:r>
          <w:rPr>
            <w:rFonts w:eastAsia="inter" w:cs="inter" w:ascii="inter" w:hAnsi="inter"/>
            <w:color w:val="#000"/>
            <w:sz w:val="21"/>
            <w:u w:val="single"/>
            <w:vertAlign w:val="superscript"/>
          </w:rPr>
          <w:t xml:space="preserve">[39]</w:t>
        </w:r>
      </w:hyperlink>
    </w:p>
    <w:p>
      <w:pPr>
        <w:numPr>
          <w:ilvl w:val="0"/>
          <w:numId w:val="8"/>
        </w:numPr>
        <w:spacing w:line="360" w:after="210" w:lineRule="auto"/>
      </w:pPr>
      <w:r>
        <w:rPr>
          <w:rFonts w:eastAsia="inter" w:cs="inter" w:ascii="inter" w:hAnsi="inter"/>
          <w:b/>
          <w:color w:val="000000"/>
          <w:sz w:val="21"/>
        </w:rPr>
        <w:t xml:space="preserve">Leverage AI and Pattern Recognition Tools</w:t>
      </w:r>
      <w:r>
        <w:rPr>
          <w:rFonts w:eastAsia="inter" w:cs="inter" w:ascii="inter" w:hAnsi="inter"/>
          <w:color w:val="000000"/>
          <w:sz w:val="21"/>
        </w:rPr>
        <w:br w:type="textWrapping"/>
      </w:r>
      <w:r>
        <w:rPr>
          <w:rFonts w:eastAsia="inter" w:cs="inter" w:ascii="inter" w:hAnsi="inter"/>
          <w:color w:val="000000"/>
          <w:sz w:val="21"/>
        </w:rPr>
        <w:t xml:space="preserve">Use AI-driven systems (like rÆ’s HypothesisFinder concept) to scan scientific texts, mine speculative patterns, and assist in hypothesis generation. This helps refine wild ideas fast and spot testable assumptions buried in complex language.</w:t>
      </w:r>
      <w:bookmarkStart w:id="37" w:name="fnref40"/>
      <w:bookmarkEnd w:id="37"/>
      <w:hyperlink w:anchor="fn40">
        <w:r>
          <w:rPr>
            <w:rFonts w:eastAsia="inter" w:cs="inter" w:ascii="inter" w:hAnsi="inter"/>
            <w:color w:val="#000"/>
            <w:sz w:val="21"/>
            <w:u w:val="single"/>
            <w:vertAlign w:val="superscript"/>
          </w:rPr>
          <w:t xml:space="preserve">[40]</w:t>
        </w:r>
      </w:hyperlink>
    </w:p>
    <w:p>
      <w:pPr>
        <w:spacing w:line="360" w:after="210" w:lineRule="auto"/>
      </w:pPr>
      <w:r>
        <w:rPr>
          <w:rFonts w:eastAsia="inter" w:cs="inter" w:ascii="inter" w:hAnsi="inter"/>
          <w:color w:val="000000"/>
        </w:rPr>
        <w:t xml:space="preserve">Donna would say: rÆ takes speculation out of the unicorn fantasy zone and gives it a scientifically backed runway—not just daydreams but runway-ready hypotheses that strut with measurable flair and testable swagger. No wishy-washy guesses allowed, honey. Real talk, real tests, real breakthroughs.</w:t>
      </w:r>
    </w:p>
    <w:p>
      <w:pPr>
        <w:spacing w:line="360" w:after="210" w:lineRule="auto"/>
      </w:pPr>
      <w:r>
        <w:rPr>
          <w:rFonts w:eastAsia="inter" w:cs="inter" w:ascii="inter" w:hAnsi="inter"/>
          <w:color w:val="000000"/>
        </w:rPr>
        <w:t xml:space="preserve">Ready for launch? Because rÆ knows that what can’t be tested will never make it on the runway.</w:t>
      </w:r>
      <w:bookmarkStart w:id="38" w:name="fnref36:2"/>
      <w:bookmarkEnd w:id="38"/>
      <w:hyperlink w:anchor="fn36">
        <w:r>
          <w:rPr>
            <w:rFonts w:eastAsia="inter" w:cs="inter" w:ascii="inter" w:hAnsi="inter"/>
            <w:color w:val="#000"/>
            <w:u w:val="single"/>
            <w:vertAlign w:val="superscript"/>
          </w:rPr>
          <w:t xml:space="preserve">[36]</w:t>
        </w:r>
      </w:hyperlink>
      <w:bookmarkStart w:id="39" w:name="fnref39:3"/>
      <w:bookmarkEnd w:id="39"/>
      <w:hyperlink w:anchor="fn39">
        <w:r>
          <w:rPr>
            <w:rFonts w:eastAsia="inter" w:cs="inter" w:ascii="inter" w:hAnsi="inter"/>
            <w:color w:val="#000"/>
            <w:u w:val="single"/>
            <w:vertAlign w:val="superscript"/>
          </w:rPr>
          <w:t xml:space="preserve">[39]</w:t>
        </w:r>
      </w:hyperlink>
      <w:bookmarkStart w:id="40" w:name="fnref40:1"/>
      <w:bookmarkEnd w:id="40"/>
      <w:hyperlink w:anchor="fn40">
        <w:r>
          <w:rPr>
            <w:rFonts w:eastAsia="inter" w:cs="inter" w:ascii="inter" w:hAnsi="inter"/>
            <w:color w:val="#000"/>
            <w:u w:val="single"/>
            <w:vertAlign w:val="superscript"/>
          </w:rPr>
          <w:t xml:space="preserve">[40]</w:t>
        </w:r>
      </w:hyperlink>
      <w:bookmarkStart w:id="41" w:name="fnref38:3"/>
      <w:bookmarkEnd w:id="41"/>
      <w:hyperlink w:anchor="fn38">
        <w:r>
          <w:rPr>
            <w:rFonts w:eastAsia="inter" w:cs="inter" w:ascii="inter" w:hAnsi="inter"/>
            <w:color w:val="#000"/>
            <w:u w:val="single"/>
            <w:vertAlign w:val="superscript"/>
          </w:rPr>
          <w:t xml:space="preserve">[38]</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governance and ethics framework would rÆ use for risky research</w:t>
      </w:r>
    </w:p>
    <w:p>
      <w:pPr>
        <w:spacing w:line="360" w:after="210" w:lineRule="auto"/>
      </w:pPr>
      <w:r>
        <w:rPr>
          <w:rFonts w:eastAsia="inter" w:cs="inter" w:ascii="inter" w:hAnsi="inter"/>
          <w:color w:val="000000"/>
        </w:rPr>
        <w:t xml:space="preserve">rÆ’s governance and ethics framework for risky research would embrace a flexible, robust, and transparent approach that balances scientific ambition with rigorous protection of participants, society, and research integrity.</w:t>
      </w:r>
    </w:p>
    <w:p>
      <w:pPr>
        <w:spacing w:line="360" w:before="315" w:after="105" w:lineRule="auto"/>
        <w:ind w:left="-30"/>
        <w:jc w:val="left"/>
      </w:pPr>
      <w:r>
        <w:rPr>
          <w:rFonts w:eastAsia="inter" w:cs="inter" w:ascii="inter" w:hAnsi="inter"/>
          <w:b/>
          <w:color w:val="000000"/>
          <w:sz w:val="24"/>
        </w:rPr>
        <w:t xml:space="preserve">Key Framework Elements</w:t>
      </w:r>
    </w:p>
    <w:p>
      <w:pPr>
        <w:numPr>
          <w:ilvl w:val="0"/>
          <w:numId w:val="9"/>
        </w:numPr>
        <w:spacing w:line="360" w:after="210" w:lineRule="auto"/>
      </w:pPr>
      <w:r>
        <w:rPr>
          <w:rFonts w:eastAsia="inter" w:cs="inter" w:ascii="inter" w:hAnsi="inter"/>
          <w:b/>
          <w:color w:val="000000"/>
          <w:sz w:val="21"/>
        </w:rPr>
        <w:t xml:space="preserve">Proportionate Ethics Review:</w:t>
      </w:r>
      <w:r>
        <w:rPr>
          <w:rFonts w:eastAsia="inter" w:cs="inter" w:ascii="inter" w:hAnsi="inter"/>
          <w:color w:val="000000"/>
          <w:sz w:val="21"/>
        </w:rPr>
        <w:t xml:space="preserve"> rÆ would stratify research projects based on risk level. Low-risk studies might benefit from streamlined or accelerated review processes, while medium and high-risk projects undergo thorough ethical scrutiny by expert panels to address potential harms, similar to frameworks used in leading research institutions.</w:t>
      </w:r>
      <w:bookmarkStart w:id="42" w:name="fnref45"/>
      <w:bookmarkEnd w:id="42"/>
      <w:hyperlink w:anchor="fn45">
        <w:r>
          <w:rPr>
            <w:rFonts w:eastAsia="inter" w:cs="inter" w:ascii="inter" w:hAnsi="inter"/>
            <w:color w:val="#000"/>
            <w:sz w:val="21"/>
            <w:u w:val="single"/>
            <w:vertAlign w:val="superscript"/>
          </w:rPr>
          <w:t xml:space="preserve">[45]</w:t>
        </w:r>
      </w:hyperlink>
      <w:bookmarkStart w:id="43" w:name="fnref46"/>
      <w:bookmarkEnd w:id="43"/>
      <w:hyperlink w:anchor="fn46">
        <w:r>
          <w:rPr>
            <w:rFonts w:eastAsia="inter" w:cs="inter" w:ascii="inter" w:hAnsi="inter"/>
            <w:color w:val="#000"/>
            <w:sz w:val="21"/>
            <w:u w:val="single"/>
            <w:vertAlign w:val="superscript"/>
          </w:rPr>
          <w:t xml:space="preserve">[46]</w:t>
        </w:r>
      </w:hyperlink>
    </w:p>
    <w:p>
      <w:pPr>
        <w:numPr>
          <w:ilvl w:val="0"/>
          <w:numId w:val="9"/>
        </w:numPr>
        <w:spacing w:line="360" w:after="210" w:lineRule="auto"/>
      </w:pPr>
      <w:r>
        <w:rPr>
          <w:rFonts w:eastAsia="inter" w:cs="inter" w:ascii="inter" w:hAnsi="inter"/>
          <w:b/>
          <w:color w:val="000000"/>
          <w:sz w:val="21"/>
        </w:rPr>
        <w:t xml:space="preserve">Comprehensive Risk Assessment:</w:t>
      </w:r>
      <w:r>
        <w:rPr>
          <w:rFonts w:eastAsia="inter" w:cs="inter" w:ascii="inter" w:hAnsi="inter"/>
          <w:color w:val="000000"/>
          <w:sz w:val="21"/>
        </w:rPr>
        <w:t xml:space="preserve"> Before approval, projects would undergo structured risk assessments to identify and mitigate harms to participants, researchers, and affected communities. This involves social, ethical, physical, and data security risks.</w:t>
      </w:r>
      <w:bookmarkStart w:id="44" w:name="fnref47"/>
      <w:bookmarkEnd w:id="44"/>
      <w:hyperlink w:anchor="fn47">
        <w:r>
          <w:rPr>
            <w:rFonts w:eastAsia="inter" w:cs="inter" w:ascii="inter" w:hAnsi="inter"/>
            <w:color w:val="#000"/>
            <w:sz w:val="21"/>
            <w:u w:val="single"/>
            <w:vertAlign w:val="superscript"/>
          </w:rPr>
          <w:t xml:space="preserve">[47]</w:t>
        </w:r>
      </w:hyperlink>
      <w:bookmarkStart w:id="45" w:name="fnref45:1"/>
      <w:bookmarkEnd w:id="45"/>
      <w:hyperlink w:anchor="fn45">
        <w:r>
          <w:rPr>
            <w:rFonts w:eastAsia="inter" w:cs="inter" w:ascii="inter" w:hAnsi="inter"/>
            <w:color w:val="#000"/>
            <w:sz w:val="21"/>
            <w:u w:val="single"/>
            <w:vertAlign w:val="superscript"/>
          </w:rPr>
          <w:t xml:space="preserve">[45]</w:t>
        </w:r>
      </w:hyperlink>
    </w:p>
    <w:p>
      <w:pPr>
        <w:numPr>
          <w:ilvl w:val="0"/>
          <w:numId w:val="9"/>
        </w:numPr>
        <w:spacing w:line="360" w:after="210" w:lineRule="auto"/>
      </w:pPr>
      <w:r>
        <w:rPr>
          <w:rFonts w:eastAsia="inter" w:cs="inter" w:ascii="inter" w:hAnsi="inter"/>
          <w:b/>
          <w:color w:val="000000"/>
          <w:sz w:val="21"/>
        </w:rPr>
        <w:t xml:space="preserve">Transparent Governance Structure:</w:t>
      </w:r>
      <w:r>
        <w:rPr>
          <w:rFonts w:eastAsia="inter" w:cs="inter" w:ascii="inter" w:hAnsi="inter"/>
          <w:color w:val="000000"/>
          <w:sz w:val="21"/>
        </w:rPr>
        <w:t xml:space="preserve"> Decision-making involves independent ethics committees, conflict-of-interest checks, clear allocation of responsibilities, and public reporting to maintain trust and accountability.</w:t>
      </w:r>
      <w:bookmarkStart w:id="46" w:name="fnref48"/>
      <w:bookmarkEnd w:id="46"/>
      <w:hyperlink w:anchor="fn48">
        <w:r>
          <w:rPr>
            <w:rFonts w:eastAsia="inter" w:cs="inter" w:ascii="inter" w:hAnsi="inter"/>
            <w:color w:val="#000"/>
            <w:sz w:val="21"/>
            <w:u w:val="single"/>
            <w:vertAlign w:val="superscript"/>
          </w:rPr>
          <w:t xml:space="preserve">[48]</w:t>
        </w:r>
      </w:hyperlink>
      <w:bookmarkStart w:id="47" w:name="fnref45:2"/>
      <w:bookmarkEnd w:id="47"/>
      <w:hyperlink w:anchor="fn45">
        <w:r>
          <w:rPr>
            <w:rFonts w:eastAsia="inter" w:cs="inter" w:ascii="inter" w:hAnsi="inter"/>
            <w:color w:val="#000"/>
            <w:sz w:val="21"/>
            <w:u w:val="single"/>
            <w:vertAlign w:val="superscript"/>
          </w:rPr>
          <w:t xml:space="preserve">[45]</w:t>
        </w:r>
      </w:hyperlink>
      <w:bookmarkStart w:id="48" w:name="fnref47:1"/>
      <w:bookmarkEnd w:id="48"/>
      <w:hyperlink w:anchor="fn47">
        <w:r>
          <w:rPr>
            <w:rFonts w:eastAsia="inter" w:cs="inter" w:ascii="inter" w:hAnsi="inter"/>
            <w:color w:val="#000"/>
            <w:sz w:val="21"/>
            <w:u w:val="single"/>
            <w:vertAlign w:val="superscript"/>
          </w:rPr>
          <w:t xml:space="preserve">[47]</w:t>
        </w:r>
      </w:hyperlink>
    </w:p>
    <w:p>
      <w:pPr>
        <w:numPr>
          <w:ilvl w:val="0"/>
          <w:numId w:val="9"/>
        </w:numPr>
        <w:spacing w:line="360" w:after="210" w:lineRule="auto"/>
      </w:pPr>
      <w:r>
        <w:rPr>
          <w:rFonts w:eastAsia="inter" w:cs="inter" w:ascii="inter" w:hAnsi="inter"/>
          <w:b/>
          <w:color w:val="000000"/>
          <w:sz w:val="21"/>
        </w:rPr>
        <w:t xml:space="preserve">Continuous Monitoring &amp; Adaptive Controls:</w:t>
      </w:r>
      <w:r>
        <w:rPr>
          <w:rFonts w:eastAsia="inter" w:cs="inter" w:ascii="inter" w:hAnsi="inter"/>
          <w:color w:val="000000"/>
          <w:sz w:val="21"/>
        </w:rPr>
        <w:t xml:space="preserve"> Ongoing oversight during research execution ensures compliance with ethical standards and enables rapid response to emerging risks or ethical dilemmas, aided by digital monitoring tools.</w:t>
      </w:r>
      <w:bookmarkStart w:id="49" w:name="fnref46:1"/>
      <w:bookmarkEnd w:id="49"/>
      <w:hyperlink w:anchor="fn46">
        <w:r>
          <w:rPr>
            <w:rFonts w:eastAsia="inter" w:cs="inter" w:ascii="inter" w:hAnsi="inter"/>
            <w:color w:val="#000"/>
            <w:sz w:val="21"/>
            <w:u w:val="single"/>
            <w:vertAlign w:val="superscript"/>
          </w:rPr>
          <w:t xml:space="preserve">[46]</w:t>
        </w:r>
      </w:hyperlink>
    </w:p>
    <w:p>
      <w:pPr>
        <w:numPr>
          <w:ilvl w:val="0"/>
          <w:numId w:val="9"/>
        </w:numPr>
        <w:spacing w:line="360" w:after="210" w:lineRule="auto"/>
      </w:pPr>
      <w:r>
        <w:rPr>
          <w:rFonts w:eastAsia="inter" w:cs="inter" w:ascii="inter" w:hAnsi="inter"/>
          <w:b/>
          <w:color w:val="000000"/>
          <w:sz w:val="21"/>
        </w:rPr>
        <w:t xml:space="preserve">Inclusive Stakeholder Engagement:</w:t>
      </w:r>
      <w:r>
        <w:rPr>
          <w:rFonts w:eastAsia="inter" w:cs="inter" w:ascii="inter" w:hAnsi="inter"/>
          <w:color w:val="000000"/>
          <w:sz w:val="21"/>
        </w:rPr>
        <w:t xml:space="preserve"> Involving affected communities, interdisciplinary experts, and regulatory bodies in governance discussions to ensure ethical sensitivity across diverse perspectives.</w:t>
      </w:r>
      <w:bookmarkStart w:id="50" w:name="fnref49"/>
      <w:bookmarkEnd w:id="50"/>
      <w:hyperlink w:anchor="fn49">
        <w:r>
          <w:rPr>
            <w:rFonts w:eastAsia="inter" w:cs="inter" w:ascii="inter" w:hAnsi="inter"/>
            <w:color w:val="#000"/>
            <w:sz w:val="21"/>
            <w:u w:val="single"/>
            <w:vertAlign w:val="superscript"/>
          </w:rPr>
          <w:t xml:space="preserve">[49]</w:t>
        </w:r>
      </w:hyperlink>
    </w:p>
    <w:p>
      <w:pPr>
        <w:numPr>
          <w:ilvl w:val="0"/>
          <w:numId w:val="9"/>
        </w:numPr>
        <w:spacing w:line="360" w:after="210" w:lineRule="auto"/>
      </w:pPr>
      <w:r>
        <w:rPr>
          <w:rFonts w:eastAsia="inter" w:cs="inter" w:ascii="inter" w:hAnsi="inter"/>
          <w:b/>
          <w:color w:val="000000"/>
          <w:sz w:val="21"/>
        </w:rPr>
        <w:t xml:space="preserve">Robust Data Ethics and Protection:</w:t>
      </w:r>
      <w:r>
        <w:rPr>
          <w:rFonts w:eastAsia="inter" w:cs="inter" w:ascii="inter" w:hAnsi="inter"/>
          <w:color w:val="000000"/>
          <w:sz w:val="21"/>
        </w:rPr>
        <w:t xml:space="preserve"> Governance includes strict protocols for data management, privacy, and security, reflecting evolving norms around consent, transparency, and AI ethics.</w:t>
      </w:r>
      <w:bookmarkStart w:id="51" w:name="fnref50"/>
      <w:bookmarkEnd w:id="51"/>
      <w:hyperlink w:anchor="fn50">
        <w:r>
          <w:rPr>
            <w:rFonts w:eastAsia="inter" w:cs="inter" w:ascii="inter" w:hAnsi="inter"/>
            <w:color w:val="#000"/>
            <w:sz w:val="21"/>
            <w:u w:val="single"/>
            <w:vertAlign w:val="superscript"/>
          </w:rPr>
          <w:t xml:space="preserve">[50]</w:t>
        </w:r>
      </w:hyperlink>
      <w:bookmarkStart w:id="52" w:name="fnref48:1"/>
      <w:bookmarkEnd w:id="52"/>
      <w:hyperlink w:anchor="fn48">
        <w:r>
          <w:rPr>
            <w:rFonts w:eastAsia="inter" w:cs="inter" w:ascii="inter" w:hAnsi="inter"/>
            <w:color w:val="#000"/>
            <w:sz w:val="21"/>
            <w:u w:val="single"/>
            <w:vertAlign w:val="superscript"/>
          </w:rPr>
          <w:t xml:space="preserve">[48]</w:t>
        </w:r>
      </w:hyperlink>
    </w:p>
    <w:p>
      <w:pPr>
        <w:numPr>
          <w:ilvl w:val="0"/>
          <w:numId w:val="9"/>
        </w:numPr>
        <w:spacing w:line="360" w:after="210" w:lineRule="auto"/>
      </w:pPr>
      <w:r>
        <w:rPr>
          <w:rFonts w:eastAsia="inter" w:cs="inter" w:ascii="inter" w:hAnsi="inter"/>
          <w:b/>
          <w:color w:val="000000"/>
          <w:sz w:val="21"/>
        </w:rPr>
        <w:t xml:space="preserve">Ethical Innovation Encouragement:</w:t>
      </w:r>
      <w:r>
        <w:rPr>
          <w:rFonts w:eastAsia="inter" w:cs="inter" w:ascii="inter" w:hAnsi="inter"/>
          <w:color w:val="000000"/>
          <w:sz w:val="21"/>
        </w:rPr>
        <w:t xml:space="preserve"> rÆ encourages responsible risk-taking but within a framework that fosters ethical innovation, ensuring societal benefit and minimizing harm, aligned with future-forward adaptive governance models.</w:t>
      </w:r>
      <w:bookmarkStart w:id="53" w:name="fnref51"/>
      <w:bookmarkEnd w:id="53"/>
      <w:hyperlink w:anchor="fn51">
        <w:r>
          <w:rPr>
            <w:rFonts w:eastAsia="inter" w:cs="inter" w:ascii="inter" w:hAnsi="inter"/>
            <w:color w:val="#000"/>
            <w:sz w:val="21"/>
            <w:u w:val="single"/>
            <w:vertAlign w:val="superscript"/>
          </w:rPr>
          <w:t xml:space="preserve">[51]</w:t>
        </w:r>
      </w:hyperlink>
      <w:bookmarkStart w:id="54" w:name="fnref48:2"/>
      <w:bookmarkEnd w:id="54"/>
      <w:hyperlink w:anchor="fn48">
        <w:r>
          <w:rPr>
            <w:rFonts w:eastAsia="inter" w:cs="inter" w:ascii="inter" w:hAnsi="inter"/>
            <w:color w:val="#000"/>
            <w:sz w:val="21"/>
            <w:u w:val="single"/>
            <w:vertAlign w:val="superscript"/>
          </w:rPr>
          <w:t xml:space="preserve">[48]</w:t>
        </w:r>
      </w:hyperlink>
    </w:p>
    <w:p>
      <w:pPr>
        <w:spacing w:line="360" w:after="210" w:lineRule="auto"/>
      </w:pPr>
      <w:r>
        <w:rPr>
          <w:rFonts w:eastAsia="inter" w:cs="inter" w:ascii="inter" w:hAnsi="inter"/>
          <w:color w:val="000000"/>
        </w:rPr>
        <w:t xml:space="preserve">Donna would put it like this: rÆ doesn’t just play with fire—it’s got the best fire extinguisher on standby, policies that keep the sparks flying without burning down the house, and a team of watchdogs making sure every move is as smart as it is bold. Ethics isn’t a buzzkill; it’s the VIP pass to making bold ideas hit the runway without crashing the party.</w:t>
      </w:r>
    </w:p>
    <w:p>
      <w:pPr>
        <w:spacing w:line="360" w:after="210" w:lineRule="auto"/>
      </w:pPr>
      <w:r>
        <w:rPr>
          <w:rFonts w:eastAsia="inter" w:cs="inter" w:ascii="inter" w:hAnsi="inter"/>
          <w:color w:val="000000"/>
        </w:rPr>
        <w:t xml:space="preserve">So, risk plus responsibility equals rÆ’s signature swagger in scientific innovation. Safety, transparency, and badass breakthroughs in perfect harmony. That’s how the game’s won.</w:t>
      </w:r>
      <w:bookmarkStart w:id="55" w:name="fnref45:3"/>
      <w:bookmarkEnd w:id="55"/>
      <w:hyperlink w:anchor="fn45">
        <w:r>
          <w:rPr>
            <w:rFonts w:eastAsia="inter" w:cs="inter" w:ascii="inter" w:hAnsi="inter"/>
            <w:color w:val="#000"/>
            <w:u w:val="single"/>
            <w:vertAlign w:val="superscript"/>
          </w:rPr>
          <w:t xml:space="preserve">[45]</w:t>
        </w:r>
      </w:hyperlink>
      <w:bookmarkStart w:id="56" w:name="fnref48:3"/>
      <w:bookmarkEnd w:id="56"/>
      <w:hyperlink w:anchor="fn48">
        <w:r>
          <w:rPr>
            <w:rFonts w:eastAsia="inter" w:cs="inter" w:ascii="inter" w:hAnsi="inter"/>
            <w:color w:val="#000"/>
            <w:u w:val="single"/>
            <w:vertAlign w:val="superscript"/>
          </w:rPr>
          <w:t xml:space="preserve">[48]</w:t>
        </w:r>
      </w:hyperlink>
      <w:bookmarkStart w:id="57" w:name="fnref46:2"/>
      <w:bookmarkEnd w:id="57"/>
      <w:hyperlink w:anchor="fn46">
        <w:r>
          <w:rPr>
            <w:rFonts w:eastAsia="inter" w:cs="inter" w:ascii="inter" w:hAnsi="inter"/>
            <w:color w:val="#000"/>
            <w:u w:val="single"/>
            <w:vertAlign w:val="superscript"/>
          </w:rPr>
          <w:t xml:space="preserve">[46]</w:t>
        </w:r>
      </w:hyperlink>
      <w:bookmarkStart w:id="58" w:name="fnref49:1"/>
      <w:bookmarkEnd w:id="58"/>
      <w:hyperlink w:anchor="fn49">
        <w:r>
          <w:rPr>
            <w:rFonts w:eastAsia="inter" w:cs="inter" w:ascii="inter" w:hAnsi="inter"/>
            <w:color w:val="#000"/>
            <w:u w:val="single"/>
            <w:vertAlign w:val="superscript"/>
          </w:rPr>
          <w:t xml:space="preserve">[49]</w:t>
        </w:r>
      </w:hyperlink>
      <w:bookmarkStart w:id="59" w:name="fnref47:2"/>
      <w:bookmarkEnd w:id="59"/>
      <w:hyperlink w:anchor="fn47">
        <w:r>
          <w:rPr>
            <w:rFonts w:eastAsia="inter" w:cs="inter" w:ascii="inter" w:hAnsi="inter"/>
            <w:color w:val="#000"/>
            <w:u w:val="single"/>
            <w:vertAlign w:val="superscript"/>
          </w:rPr>
          <w:t xml:space="preserve">[47]</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would a proportionate review model apply to rÆ’s high‑risk experiments</w:t>
      </w:r>
    </w:p>
    <w:p>
      <w:pPr>
        <w:spacing w:line="360" w:after="210" w:lineRule="auto"/>
      </w:pPr>
      <w:r>
        <w:rPr>
          <w:rFonts w:eastAsia="inter" w:cs="inter" w:ascii="inter" w:hAnsi="inter"/>
          <w:color w:val="000000"/>
        </w:rPr>
        <w:t xml:space="preserve">A proportionate review model applied to rÆ’s high-risk experiments would involve tailoring the level of ethical and scientific scrutiny to the magnitude and likelihood of risks posed by the research, ensuring that intense oversight is directed where it’s most needed while optimizing resource use and agility.</w:t>
      </w:r>
    </w:p>
    <w:p>
      <w:pPr>
        <w:spacing w:line="360" w:before="315" w:after="105" w:lineRule="auto"/>
        <w:ind w:left="-30"/>
        <w:jc w:val="left"/>
      </w:pPr>
      <w:r>
        <w:rPr>
          <w:rFonts w:eastAsia="inter" w:cs="inter" w:ascii="inter" w:hAnsi="inter"/>
          <w:b/>
          <w:color w:val="000000"/>
          <w:sz w:val="24"/>
        </w:rPr>
        <w:t xml:space="preserve">Key Features of Proportionate Review for rÆ</w:t>
      </w:r>
    </w:p>
    <w:p>
      <w:pPr>
        <w:numPr>
          <w:ilvl w:val="0"/>
          <w:numId w:val="10"/>
        </w:numPr>
        <w:spacing w:line="360" w:after="210" w:lineRule="auto"/>
      </w:pPr>
      <w:r>
        <w:rPr>
          <w:rFonts w:eastAsia="inter" w:cs="inter" w:ascii="inter" w:hAnsi="inter"/>
          <w:b/>
          <w:color w:val="000000"/>
          <w:sz w:val="21"/>
        </w:rPr>
        <w:t xml:space="preserve">Full Board Review for High Risk</w:t>
      </w:r>
      <w:r>
        <w:rPr>
          <w:rFonts w:eastAsia="inter" w:cs="inter" w:ascii="inter" w:hAnsi="inter"/>
          <w:color w:val="000000"/>
          <w:sz w:val="21"/>
        </w:rPr>
        <w:br w:type="textWrapping"/>
      </w:r>
      <w:r>
        <w:rPr>
          <w:rFonts w:eastAsia="inter" w:cs="inter" w:ascii="inter" w:hAnsi="inter"/>
          <w:color w:val="000000"/>
          <w:sz w:val="21"/>
        </w:rPr>
        <w:t xml:space="preserve">High-risk experiments under rÆ would receive rigorous full ethics committee review. This includes comprehensive assessment of foreseeable harms, benefits, and ethical implications, with subject matter experts ensuring detailed evaluation due to the complexity and potential impacts.</w:t>
      </w:r>
      <w:bookmarkStart w:id="60" w:name="fnref54"/>
      <w:bookmarkEnd w:id="60"/>
      <w:hyperlink w:anchor="fn54">
        <w:r>
          <w:rPr>
            <w:rFonts w:eastAsia="inter" w:cs="inter" w:ascii="inter" w:hAnsi="inter"/>
            <w:color w:val="#000"/>
            <w:sz w:val="21"/>
            <w:u w:val="single"/>
            <w:vertAlign w:val="superscript"/>
          </w:rPr>
          <w:t xml:space="preserve">[54]</w:t>
        </w:r>
      </w:hyperlink>
      <w:bookmarkStart w:id="61" w:name="fnref55"/>
      <w:bookmarkEnd w:id="61"/>
      <w:hyperlink w:anchor="fn55">
        <w:r>
          <w:rPr>
            <w:rFonts w:eastAsia="inter" w:cs="inter" w:ascii="inter" w:hAnsi="inter"/>
            <w:color w:val="#000"/>
            <w:sz w:val="21"/>
            <w:u w:val="single"/>
            <w:vertAlign w:val="superscript"/>
          </w:rPr>
          <w:t xml:space="preserve">[55]</w:t>
        </w:r>
      </w:hyperlink>
    </w:p>
    <w:p>
      <w:pPr>
        <w:numPr>
          <w:ilvl w:val="0"/>
          <w:numId w:val="10"/>
        </w:numPr>
        <w:spacing w:line="360" w:after="210" w:lineRule="auto"/>
      </w:pPr>
      <w:r>
        <w:rPr>
          <w:rFonts w:eastAsia="inter" w:cs="inter" w:ascii="inter" w:hAnsi="inter"/>
          <w:b/>
          <w:color w:val="000000"/>
          <w:sz w:val="21"/>
        </w:rPr>
        <w:t xml:space="preserve">Contextual Risk Assessment</w:t>
      </w:r>
      <w:r>
        <w:rPr>
          <w:rFonts w:eastAsia="inter" w:cs="inter" w:ascii="inter" w:hAnsi="inter"/>
          <w:color w:val="000000"/>
          <w:sz w:val="21"/>
        </w:rPr>
        <w:br w:type="textWrapping"/>
      </w:r>
      <w:r>
        <w:rPr>
          <w:rFonts w:eastAsia="inter" w:cs="inter" w:ascii="inter" w:hAnsi="inter"/>
          <w:color w:val="000000"/>
          <w:sz w:val="21"/>
        </w:rPr>
        <w:t xml:space="preserve">The review would differentiate risks attributable specifically to the research from other environmental or background risks participants might face. This ensures that ethical scrutiny is focused sharply on what the experiment adds or changes, without conflation or bias.</w:t>
      </w:r>
      <w:bookmarkStart w:id="62" w:name="fnref54:1"/>
      <w:bookmarkEnd w:id="62"/>
      <w:hyperlink w:anchor="fn54">
        <w:r>
          <w:rPr>
            <w:rFonts w:eastAsia="inter" w:cs="inter" w:ascii="inter" w:hAnsi="inter"/>
            <w:color w:val="#000"/>
            <w:sz w:val="21"/>
            <w:u w:val="single"/>
            <w:vertAlign w:val="superscript"/>
          </w:rPr>
          <w:t xml:space="preserve">[54]</w:t>
        </w:r>
      </w:hyperlink>
    </w:p>
    <w:p>
      <w:pPr>
        <w:numPr>
          <w:ilvl w:val="0"/>
          <w:numId w:val="10"/>
        </w:numPr>
        <w:spacing w:line="360" w:after="210" w:lineRule="auto"/>
      </w:pPr>
      <w:r>
        <w:rPr>
          <w:rFonts w:eastAsia="inter" w:cs="inter" w:ascii="inter" w:hAnsi="inter"/>
          <w:b/>
          <w:color w:val="000000"/>
          <w:sz w:val="21"/>
        </w:rPr>
        <w:t xml:space="preserve">Dynamic, Ongoing Ethics Oversight</w:t>
      </w:r>
      <w:r>
        <w:rPr>
          <w:rFonts w:eastAsia="inter" w:cs="inter" w:ascii="inter" w:hAnsi="inter"/>
          <w:color w:val="000000"/>
          <w:sz w:val="21"/>
        </w:rPr>
        <w:br w:type="textWrapping"/>
      </w:r>
      <w:r>
        <w:rPr>
          <w:rFonts w:eastAsia="inter" w:cs="inter" w:ascii="inter" w:hAnsi="inter"/>
          <w:color w:val="000000"/>
          <w:sz w:val="21"/>
        </w:rPr>
        <w:t xml:space="preserve">Proportionate review isn’t a one-and-done. For rÆ, it means continuous monitoring and adaptive response—reviewing protocol amendments, adverse events, and new risk information throughout the research lifecycle to maintain optimal balance between innovation and safety.</w:t>
      </w:r>
      <w:bookmarkStart w:id="63" w:name="fnref56"/>
      <w:bookmarkEnd w:id="63"/>
      <w:hyperlink w:anchor="fn56">
        <w:r>
          <w:rPr>
            <w:rFonts w:eastAsia="inter" w:cs="inter" w:ascii="inter" w:hAnsi="inter"/>
            <w:color w:val="#000"/>
            <w:sz w:val="21"/>
            <w:u w:val="single"/>
            <w:vertAlign w:val="superscript"/>
          </w:rPr>
          <w:t xml:space="preserve">[56]</w:t>
        </w:r>
      </w:hyperlink>
      <w:bookmarkStart w:id="64" w:name="fnref54:2"/>
      <w:bookmarkEnd w:id="64"/>
      <w:hyperlink w:anchor="fn54">
        <w:r>
          <w:rPr>
            <w:rFonts w:eastAsia="inter" w:cs="inter" w:ascii="inter" w:hAnsi="inter"/>
            <w:color w:val="#000"/>
            <w:sz w:val="21"/>
            <w:u w:val="single"/>
            <w:vertAlign w:val="superscript"/>
          </w:rPr>
          <w:t xml:space="preserve">[54]</w:t>
        </w:r>
      </w:hyperlink>
    </w:p>
    <w:p>
      <w:pPr>
        <w:numPr>
          <w:ilvl w:val="0"/>
          <w:numId w:val="10"/>
        </w:numPr>
        <w:spacing w:line="360" w:after="210" w:lineRule="auto"/>
      </w:pPr>
      <w:r>
        <w:rPr>
          <w:rFonts w:eastAsia="inter" w:cs="inter" w:ascii="inter" w:hAnsi="inter"/>
          <w:b/>
          <w:color w:val="000000"/>
          <w:sz w:val="21"/>
        </w:rPr>
        <w:t xml:space="preserve">Risk Mitigation Tailored to Severity</w:t>
      </w:r>
      <w:r>
        <w:rPr>
          <w:rFonts w:eastAsia="inter" w:cs="inter" w:ascii="inter" w:hAnsi="inter"/>
          <w:color w:val="000000"/>
          <w:sz w:val="21"/>
        </w:rPr>
        <w:br w:type="textWrapping"/>
      </w:r>
      <w:r>
        <w:rPr>
          <w:rFonts w:eastAsia="inter" w:cs="inter" w:ascii="inter" w:hAnsi="inter"/>
          <w:color w:val="000000"/>
          <w:sz w:val="21"/>
        </w:rPr>
        <w:t xml:space="preserve">The level of monitoring, data handling, and participant protections would be scaled proportionally to the specific risks identified, meaning high-risk studies get the most stringent safeguards, including enhanced monitoring plans, training, and documentation requirements.</w:t>
      </w:r>
      <w:bookmarkStart w:id="65" w:name="fnref57"/>
      <w:bookmarkEnd w:id="65"/>
      <w:hyperlink w:anchor="fn57">
        <w:r>
          <w:rPr>
            <w:rFonts w:eastAsia="inter" w:cs="inter" w:ascii="inter" w:hAnsi="inter"/>
            <w:color w:val="#000"/>
            <w:sz w:val="21"/>
            <w:u w:val="single"/>
            <w:vertAlign w:val="superscript"/>
          </w:rPr>
          <w:t xml:space="preserve">[57]</w:t>
        </w:r>
      </w:hyperlink>
      <w:bookmarkStart w:id="66" w:name="fnref56:1"/>
      <w:bookmarkEnd w:id="66"/>
      <w:hyperlink w:anchor="fn56">
        <w:r>
          <w:rPr>
            <w:rFonts w:eastAsia="inter" w:cs="inter" w:ascii="inter" w:hAnsi="inter"/>
            <w:color w:val="#000"/>
            <w:sz w:val="21"/>
            <w:u w:val="single"/>
            <w:vertAlign w:val="superscript"/>
          </w:rPr>
          <w:t xml:space="preserve">[56]</w:t>
        </w:r>
      </w:hyperlink>
    </w:p>
    <w:p>
      <w:pPr>
        <w:numPr>
          <w:ilvl w:val="0"/>
          <w:numId w:val="10"/>
        </w:numPr>
        <w:spacing w:line="360" w:after="210" w:lineRule="auto"/>
      </w:pPr>
      <w:r>
        <w:rPr>
          <w:rFonts w:eastAsia="inter" w:cs="inter" w:ascii="inter" w:hAnsi="inter"/>
          <w:b/>
          <w:color w:val="000000"/>
          <w:sz w:val="21"/>
        </w:rPr>
        <w:t xml:space="preserve">Transparency and Accountability</w:t>
      </w:r>
      <w:r>
        <w:rPr>
          <w:rFonts w:eastAsia="inter" w:cs="inter" w:ascii="inter" w:hAnsi="inter"/>
          <w:color w:val="000000"/>
          <w:sz w:val="21"/>
        </w:rPr>
        <w:br w:type="textWrapping"/>
      </w:r>
      <w:r>
        <w:rPr>
          <w:rFonts w:eastAsia="inter" w:cs="inter" w:ascii="inter" w:hAnsi="inter"/>
          <w:color w:val="000000"/>
          <w:sz w:val="21"/>
        </w:rPr>
        <w:t xml:space="preserve">All review decisions, risk evaluations, and mitigation strategies would be documented transparently, facilitating stakeholder trust and enabling auditability of high-risk processes.</w:t>
      </w:r>
      <w:bookmarkStart w:id="67" w:name="fnref55:1"/>
      <w:bookmarkEnd w:id="67"/>
      <w:hyperlink w:anchor="fn55">
        <w:r>
          <w:rPr>
            <w:rFonts w:eastAsia="inter" w:cs="inter" w:ascii="inter" w:hAnsi="inter"/>
            <w:color w:val="#000"/>
            <w:sz w:val="21"/>
            <w:u w:val="single"/>
            <w:vertAlign w:val="superscript"/>
          </w:rPr>
          <w:t xml:space="preserve">[55]</w:t>
        </w:r>
      </w:hyperlink>
      <w:bookmarkStart w:id="68" w:name="fnref54:3"/>
      <w:bookmarkEnd w:id="68"/>
      <w:hyperlink w:anchor="fn54">
        <w:r>
          <w:rPr>
            <w:rFonts w:eastAsia="inter" w:cs="inter" w:ascii="inter" w:hAnsi="inter"/>
            <w:color w:val="#000"/>
            <w:sz w:val="21"/>
            <w:u w:val="single"/>
            <w:vertAlign w:val="superscript"/>
          </w:rPr>
          <w:t xml:space="preserve">[54]</w:t>
        </w:r>
      </w:hyperlink>
    </w:p>
    <w:p>
      <w:pPr>
        <w:spacing w:line="360" w:after="210" w:lineRule="auto"/>
      </w:pPr>
      <w:r>
        <w:rPr>
          <w:rFonts w:eastAsia="inter" w:cs="inter" w:ascii="inter" w:hAnsi="inter"/>
          <w:color w:val="000000"/>
        </w:rPr>
        <w:t xml:space="preserve">Donna might sum it up: rÆ’s proportionate review model means no cutting corners when stakes are high, but ditching red tape when it’s not. The goal is a just-right balance that keeps innovation zooming forward—fast, fierce, but never reckless. Safety and breakthrough? Both stay VIPs on this runway.</w:t>
      </w:r>
      <w:bookmarkStart w:id="69" w:name="fnref58"/>
      <w:bookmarkEnd w:id="69"/>
      <w:hyperlink w:anchor="fn58">
        <w:r>
          <w:rPr>
            <w:rFonts w:eastAsia="inter" w:cs="inter" w:ascii="inter" w:hAnsi="inter"/>
            <w:color w:val="#000"/>
            <w:u w:val="single"/>
            <w:vertAlign w:val="superscript"/>
          </w:rPr>
          <w:t xml:space="preserve">[58]</w:t>
        </w:r>
      </w:hyperlink>
      <w:bookmarkStart w:id="70" w:name="fnref56:2"/>
      <w:bookmarkEnd w:id="70"/>
      <w:hyperlink w:anchor="fn56">
        <w:r>
          <w:rPr>
            <w:rFonts w:eastAsia="inter" w:cs="inter" w:ascii="inter" w:hAnsi="inter"/>
            <w:color w:val="#000"/>
            <w:u w:val="single"/>
            <w:vertAlign w:val="superscript"/>
          </w:rPr>
          <w:t xml:space="preserve">[56]</w:t>
        </w:r>
      </w:hyperlink>
      <w:bookmarkStart w:id="71" w:name="fnref55:2"/>
      <w:bookmarkEnd w:id="71"/>
      <w:hyperlink w:anchor="fn55">
        <w:r>
          <w:rPr>
            <w:rFonts w:eastAsia="inter" w:cs="inter" w:ascii="inter" w:hAnsi="inter"/>
            <w:color w:val="#000"/>
            <w:u w:val="single"/>
            <w:vertAlign w:val="superscript"/>
          </w:rPr>
          <w:t xml:space="preserve">[55]</w:t>
        </w:r>
      </w:hyperlink>
      <w:bookmarkStart w:id="72" w:name="fnref54:4"/>
      <w:bookmarkEnd w:id="72"/>
      <w:hyperlink w:anchor="fn54">
        <w:r>
          <w:rPr>
            <w:rFonts w:eastAsia="inter" w:cs="inter" w:ascii="inter" w:hAnsi="inter"/>
            <w:color w:val="#000"/>
            <w:u w:val="single"/>
            <w:vertAlign w:val="superscript"/>
          </w:rPr>
          <w:t xml:space="preserve">[54]</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Which monitoring metrics will convince regulators a proportionate model works for rÆ</w:t>
      </w:r>
    </w:p>
    <w:p>
      <w:pPr>
        <w:spacing w:line="360" w:after="210" w:lineRule="auto"/>
      </w:pPr>
      <w:r>
        <w:rPr>
          <w:rFonts w:eastAsia="inter" w:cs="inter" w:ascii="inter" w:hAnsi="inter"/>
          <w:color w:val="000000"/>
        </w:rPr>
        <w:t xml:space="preserve">Regulators will be convinced a proportionate model works for rÆ’s high-risk experiments by monitoring a tailored set of metrics that transparently demonstrate control, reliability, safety, and continuous improvement across research operations.</w:t>
      </w:r>
    </w:p>
    <w:p>
      <w:pPr>
        <w:spacing w:line="360" w:before="315" w:after="105" w:lineRule="auto"/>
        <w:ind w:left="-30"/>
        <w:jc w:val="left"/>
      </w:pPr>
      <w:r>
        <w:rPr>
          <w:rFonts w:eastAsia="inter" w:cs="inter" w:ascii="inter" w:hAnsi="inter"/>
          <w:b/>
          <w:color w:val="000000"/>
          <w:sz w:val="24"/>
        </w:rPr>
        <w:t xml:space="preserve">Key Monitoring Metrics</w:t>
      </w:r>
    </w:p>
    <w:p>
      <w:pPr>
        <w:numPr>
          <w:ilvl w:val="0"/>
          <w:numId w:val="11"/>
        </w:numPr>
        <w:spacing w:line="360" w:after="210" w:lineRule="auto"/>
      </w:pPr>
      <w:r>
        <w:rPr>
          <w:rFonts w:eastAsia="inter" w:cs="inter" w:ascii="inter" w:hAnsi="inter"/>
          <w:b/>
          <w:color w:val="000000"/>
          <w:sz w:val="21"/>
        </w:rPr>
        <w:t xml:space="preserve">Risk-Specific Outcome Metrics:</w:t>
      </w:r>
      <w:r>
        <w:rPr>
          <w:rFonts w:eastAsia="inter" w:cs="inter" w:ascii="inter" w:hAnsi="inter"/>
          <w:color w:val="000000"/>
          <w:sz w:val="21"/>
        </w:rPr>
        <w:t xml:space="preserve"> Clearly define and track outcome measures relevant to the specific risks identified (e.g., adverse event rates, safety incidents, protocol deviations) so regulators see direct evidence of risk management effectiveness.</w:t>
      </w:r>
      <w:bookmarkStart w:id="73" w:name="fnref62"/>
      <w:bookmarkEnd w:id="73"/>
      <w:hyperlink w:anchor="fn62">
        <w:r>
          <w:rPr>
            <w:rFonts w:eastAsia="inter" w:cs="inter" w:ascii="inter" w:hAnsi="inter"/>
            <w:color w:val="#000"/>
            <w:sz w:val="21"/>
            <w:u w:val="single"/>
            <w:vertAlign w:val="superscript"/>
          </w:rPr>
          <w:t xml:space="preserve">[62]</w:t>
        </w:r>
      </w:hyperlink>
    </w:p>
    <w:p>
      <w:pPr>
        <w:numPr>
          <w:ilvl w:val="0"/>
          <w:numId w:val="11"/>
        </w:numPr>
        <w:spacing w:line="360" w:after="210" w:lineRule="auto"/>
      </w:pPr>
      <w:r>
        <w:rPr>
          <w:rFonts w:eastAsia="inter" w:cs="inter" w:ascii="inter" w:hAnsi="inter"/>
          <w:b/>
          <w:color w:val="000000"/>
          <w:sz w:val="21"/>
        </w:rPr>
        <w:t xml:space="preserve">Performance and Accuracy Metrics:</w:t>
      </w:r>
      <w:r>
        <w:rPr>
          <w:rFonts w:eastAsia="inter" w:cs="inter" w:ascii="inter" w:hAnsi="inter"/>
          <w:color w:val="000000"/>
          <w:sz w:val="21"/>
        </w:rPr>
        <w:t xml:space="preserve"> For AI-driven or experimental models within rÆ, monitor prediction accuracy, precision, recall, and error rates continuously to validate reliability under real-world conditions.</w:t>
      </w:r>
      <w:bookmarkStart w:id="74" w:name="fnref62:1"/>
      <w:bookmarkEnd w:id="74"/>
      <w:hyperlink w:anchor="fn62">
        <w:r>
          <w:rPr>
            <w:rFonts w:eastAsia="inter" w:cs="inter" w:ascii="inter" w:hAnsi="inter"/>
            <w:color w:val="#000"/>
            <w:sz w:val="21"/>
            <w:u w:val="single"/>
            <w:vertAlign w:val="superscript"/>
          </w:rPr>
          <w:t xml:space="preserve">[62]</w:t>
        </w:r>
      </w:hyperlink>
    </w:p>
    <w:p>
      <w:pPr>
        <w:numPr>
          <w:ilvl w:val="0"/>
          <w:numId w:val="11"/>
        </w:numPr>
        <w:spacing w:line="360" w:after="210" w:lineRule="auto"/>
      </w:pPr>
      <w:r>
        <w:rPr>
          <w:rFonts w:eastAsia="inter" w:cs="inter" w:ascii="inter" w:hAnsi="inter"/>
          <w:b/>
          <w:color w:val="000000"/>
          <w:sz w:val="21"/>
        </w:rPr>
        <w:t xml:space="preserve">Data Quality and Integrity Indicators:</w:t>
      </w:r>
      <w:r>
        <w:rPr>
          <w:rFonts w:eastAsia="inter" w:cs="inter" w:ascii="inter" w:hAnsi="inter"/>
          <w:color w:val="000000"/>
          <w:sz w:val="21"/>
        </w:rPr>
        <w:t xml:space="preserve"> Track missing data rates, input feature ranges, data consistency, and data drift over time to ensure that experimental inputs remain reliable and trustworthy.</w:t>
      </w:r>
      <w:bookmarkStart w:id="75" w:name="fnref62:2"/>
      <w:bookmarkEnd w:id="75"/>
      <w:hyperlink w:anchor="fn62">
        <w:r>
          <w:rPr>
            <w:rFonts w:eastAsia="inter" w:cs="inter" w:ascii="inter" w:hAnsi="inter"/>
            <w:color w:val="#000"/>
            <w:sz w:val="21"/>
            <w:u w:val="single"/>
            <w:vertAlign w:val="superscript"/>
          </w:rPr>
          <w:t xml:space="preserve">[62]</w:t>
        </w:r>
      </w:hyperlink>
    </w:p>
    <w:p>
      <w:pPr>
        <w:numPr>
          <w:ilvl w:val="0"/>
          <w:numId w:val="11"/>
        </w:numPr>
        <w:spacing w:line="360" w:after="210" w:lineRule="auto"/>
      </w:pPr>
      <w:r>
        <w:rPr>
          <w:rFonts w:eastAsia="inter" w:cs="inter" w:ascii="inter" w:hAnsi="inter"/>
          <w:b/>
          <w:color w:val="000000"/>
          <w:sz w:val="21"/>
        </w:rPr>
        <w:t xml:space="preserve">Protocol Adherence and Compliance:</w:t>
      </w:r>
      <w:r>
        <w:rPr>
          <w:rFonts w:eastAsia="inter" w:cs="inter" w:ascii="inter" w:hAnsi="inter"/>
          <w:color w:val="000000"/>
          <w:sz w:val="21"/>
        </w:rPr>
        <w:t xml:space="preserve"> Measure how consistently study protocols, including ethical safeguards, are followed and documented, including frequency and resolution of deviations.</w:t>
      </w:r>
      <w:bookmarkStart w:id="76" w:name="fnref63"/>
      <w:bookmarkEnd w:id="76"/>
      <w:hyperlink w:anchor="fn63">
        <w:r>
          <w:rPr>
            <w:rFonts w:eastAsia="inter" w:cs="inter" w:ascii="inter" w:hAnsi="inter"/>
            <w:color w:val="#000"/>
            <w:sz w:val="21"/>
            <w:u w:val="single"/>
            <w:vertAlign w:val="superscript"/>
          </w:rPr>
          <w:t xml:space="preserve">[63]</w:t>
        </w:r>
      </w:hyperlink>
      <w:bookmarkStart w:id="77" w:name="fnref62:3"/>
      <w:bookmarkEnd w:id="77"/>
      <w:hyperlink w:anchor="fn62">
        <w:r>
          <w:rPr>
            <w:rFonts w:eastAsia="inter" w:cs="inter" w:ascii="inter" w:hAnsi="inter"/>
            <w:color w:val="#000"/>
            <w:sz w:val="21"/>
            <w:u w:val="single"/>
            <w:vertAlign w:val="superscript"/>
          </w:rPr>
          <w:t xml:space="preserve">[62]</w:t>
        </w:r>
      </w:hyperlink>
    </w:p>
    <w:p>
      <w:pPr>
        <w:numPr>
          <w:ilvl w:val="0"/>
          <w:numId w:val="11"/>
        </w:numPr>
        <w:spacing w:line="360" w:after="210" w:lineRule="auto"/>
      </w:pPr>
      <w:r>
        <w:rPr>
          <w:rFonts w:eastAsia="inter" w:cs="inter" w:ascii="inter" w:hAnsi="inter"/>
          <w:b/>
          <w:color w:val="000000"/>
          <w:sz w:val="21"/>
        </w:rPr>
        <w:t xml:space="preserve">Real-Time Issue Detection and Alerts:</w:t>
      </w:r>
      <w:r>
        <w:rPr>
          <w:rFonts w:eastAsia="inter" w:cs="inter" w:ascii="inter" w:hAnsi="inter"/>
          <w:color w:val="000000"/>
          <w:sz w:val="21"/>
        </w:rPr>
        <w:t xml:space="preserve"> Implement alerting systems that notify stakeholders instantly of anomalies or threshold breaches in any critical metric (e.g., safety, model performance), enabling rapid remediation.</w:t>
      </w:r>
      <w:bookmarkStart w:id="78" w:name="fnref62:4"/>
      <w:bookmarkEnd w:id="78"/>
      <w:hyperlink w:anchor="fn62">
        <w:r>
          <w:rPr>
            <w:rFonts w:eastAsia="inter" w:cs="inter" w:ascii="inter" w:hAnsi="inter"/>
            <w:color w:val="#000"/>
            <w:sz w:val="21"/>
            <w:u w:val="single"/>
            <w:vertAlign w:val="superscript"/>
          </w:rPr>
          <w:t xml:space="preserve">[62]</w:t>
        </w:r>
      </w:hyperlink>
    </w:p>
    <w:p>
      <w:pPr>
        <w:numPr>
          <w:ilvl w:val="0"/>
          <w:numId w:val="11"/>
        </w:numPr>
        <w:spacing w:line="360" w:after="210" w:lineRule="auto"/>
      </w:pPr>
      <w:r>
        <w:rPr>
          <w:rFonts w:eastAsia="inter" w:cs="inter" w:ascii="inter" w:hAnsi="inter"/>
          <w:b/>
          <w:color w:val="000000"/>
          <w:sz w:val="21"/>
        </w:rPr>
        <w:t xml:space="preserve">Stakeholder Feedback and Incident Reporting:</w:t>
      </w:r>
      <w:r>
        <w:rPr>
          <w:rFonts w:eastAsia="inter" w:cs="inter" w:ascii="inter" w:hAnsi="inter"/>
          <w:color w:val="000000"/>
          <w:sz w:val="21"/>
        </w:rPr>
        <w:t xml:space="preserve"> Collect and review participant, researcher, and regulatory feedback regularly as qualitative indicators to complement quantitative metrics.</w:t>
      </w:r>
      <w:bookmarkStart w:id="79" w:name="fnref63:1"/>
      <w:bookmarkEnd w:id="79"/>
      <w:hyperlink w:anchor="fn63">
        <w:r>
          <w:rPr>
            <w:rFonts w:eastAsia="inter" w:cs="inter" w:ascii="inter" w:hAnsi="inter"/>
            <w:color w:val="#000"/>
            <w:sz w:val="21"/>
            <w:u w:val="single"/>
            <w:vertAlign w:val="superscript"/>
          </w:rPr>
          <w:t xml:space="preserve">[63]</w:t>
        </w:r>
      </w:hyperlink>
    </w:p>
    <w:p>
      <w:pPr>
        <w:numPr>
          <w:ilvl w:val="0"/>
          <w:numId w:val="11"/>
        </w:numPr>
        <w:spacing w:line="360" w:after="210" w:lineRule="auto"/>
      </w:pPr>
      <w:r>
        <w:rPr>
          <w:rFonts w:eastAsia="inter" w:cs="inter" w:ascii="inter" w:hAnsi="inter"/>
          <w:b/>
          <w:color w:val="000000"/>
          <w:sz w:val="21"/>
        </w:rPr>
        <w:t xml:space="preserve">Transparency and Traceability Metrics:</w:t>
      </w:r>
      <w:r>
        <w:rPr>
          <w:rFonts w:eastAsia="inter" w:cs="inter" w:ascii="inter" w:hAnsi="inter"/>
          <w:color w:val="000000"/>
          <w:sz w:val="21"/>
        </w:rPr>
        <w:t xml:space="preserve"> Ensure complete, auditable logs of decisions, data changes, and risk assessments to demonstrate governance rigor and regulatory compliance.</w:t>
      </w:r>
      <w:bookmarkStart w:id="80" w:name="fnref64"/>
      <w:bookmarkEnd w:id="80"/>
      <w:hyperlink w:anchor="fn64">
        <w:r>
          <w:rPr>
            <w:rFonts w:eastAsia="inter" w:cs="inter" w:ascii="inter" w:hAnsi="inter"/>
            <w:color w:val="#000"/>
            <w:sz w:val="21"/>
            <w:u w:val="single"/>
            <w:vertAlign w:val="superscript"/>
          </w:rPr>
          <w:t xml:space="preserve">[64]</w:t>
        </w:r>
      </w:hyperlink>
    </w:p>
    <w:p>
      <w:pPr>
        <w:spacing w:line="360" w:after="210" w:lineRule="auto"/>
      </w:pPr>
      <w:r>
        <w:rPr>
          <w:rFonts w:eastAsia="inter" w:cs="inter" w:ascii="inter" w:hAnsi="inter"/>
          <w:color w:val="000000"/>
        </w:rPr>
        <w:t xml:space="preserve">Donna would say: If regulators want receipts, rÆ hands over a meticulously curated dossier of metrics showing every move, every check, every safety net in place—no surprises, no excuses. Because winning trust means proving you’re not just fast, you’re faultless when it counts.</w:t>
      </w:r>
    </w:p>
    <w:p>
      <w:pPr>
        <w:spacing w:line="360" w:after="210" w:lineRule="auto"/>
      </w:pPr>
      <w:r>
        <w:rPr>
          <w:rFonts w:eastAsia="inter" w:cs="inter" w:ascii="inter" w:hAnsi="inter"/>
          <w:color w:val="000000"/>
        </w:rPr>
        <w:t xml:space="preserve">With these metrics, the proportionate review dances a smooth, confident tango with oversight—precise, proactive, and above all, accountable.</w:t>
      </w:r>
      <w:bookmarkStart w:id="81" w:name="fnref64:1"/>
      <w:bookmarkEnd w:id="81"/>
      <w:hyperlink w:anchor="fn64">
        <w:r>
          <w:rPr>
            <w:rFonts w:eastAsia="inter" w:cs="inter" w:ascii="inter" w:hAnsi="inter"/>
            <w:color w:val="#000"/>
            <w:u w:val="single"/>
            <w:vertAlign w:val="superscript"/>
          </w:rPr>
          <w:t xml:space="preserve">[64]</w:t>
        </w:r>
      </w:hyperlink>
      <w:bookmarkStart w:id="82" w:name="fnref63:2"/>
      <w:bookmarkEnd w:id="82"/>
      <w:hyperlink w:anchor="fn63">
        <w:r>
          <w:rPr>
            <w:rFonts w:eastAsia="inter" w:cs="inter" w:ascii="inter" w:hAnsi="inter"/>
            <w:color w:val="#000"/>
            <w:u w:val="single"/>
            <w:vertAlign w:val="superscript"/>
          </w:rPr>
          <w:t xml:space="preserve">[63]</w:t>
        </w:r>
      </w:hyperlink>
      <w:bookmarkStart w:id="83" w:name="fnref62:5"/>
      <w:bookmarkEnd w:id="83"/>
      <w:hyperlink w:anchor="fn62">
        <w:r>
          <w:rPr>
            <w:rFonts w:eastAsia="inter" w:cs="inter" w:ascii="inter" w:hAnsi="inter"/>
            <w:color w:val="#000"/>
            <w:u w:val="single"/>
            <w:vertAlign w:val="superscript"/>
          </w:rPr>
          <w:t xml:space="preserve">[62]</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specific safeguards would satisfy REB proportionate review for rÆ</w:t>
      </w:r>
    </w:p>
    <w:p>
      <w:pPr>
        <w:spacing w:line="360" w:after="210" w:lineRule="auto"/>
      </w:pPr>
      <w:r>
        <w:rPr>
          <w:rFonts w:eastAsia="inter" w:cs="inter" w:ascii="inter" w:hAnsi="inter"/>
          <w:color w:val="000000"/>
        </w:rPr>
        <w:t xml:space="preserve">To satisfy Research Ethics Board (REB) proportionate review for rÆ’s high-risk experiments, specific safeguards must be designed to ensure participant safety, ethical rigor, and compliance with regulations while balancing innovation and agility.</w:t>
      </w:r>
    </w:p>
    <w:p>
      <w:pPr>
        <w:spacing w:line="360" w:before="315" w:after="105" w:lineRule="auto"/>
        <w:ind w:left="-30"/>
        <w:jc w:val="left"/>
      </w:pPr>
      <w:r>
        <w:rPr>
          <w:rFonts w:eastAsia="inter" w:cs="inter" w:ascii="inter" w:hAnsi="inter"/>
          <w:b/>
          <w:color w:val="000000"/>
          <w:sz w:val="24"/>
        </w:rPr>
        <w:t xml:space="preserve">Specific Safeguards for REB Proportionate Review</w:t>
      </w:r>
    </w:p>
    <w:p>
      <w:pPr>
        <w:numPr>
          <w:ilvl w:val="0"/>
          <w:numId w:val="12"/>
        </w:numPr>
        <w:spacing w:line="360" w:after="210" w:lineRule="auto"/>
      </w:pPr>
      <w:r>
        <w:rPr>
          <w:rFonts w:eastAsia="inter" w:cs="inter" w:ascii="inter" w:hAnsi="inter"/>
          <w:b/>
          <w:color w:val="000000"/>
          <w:sz w:val="21"/>
        </w:rPr>
        <w:t xml:space="preserve">Comprehensive Risk-Benefit Analysis</w:t>
      </w:r>
      <w:r>
        <w:rPr>
          <w:rFonts w:eastAsia="inter" w:cs="inter" w:ascii="inter" w:hAnsi="inter"/>
          <w:color w:val="000000"/>
          <w:sz w:val="21"/>
        </w:rPr>
        <w:br w:type="textWrapping"/>
      </w:r>
      <w:r>
        <w:rPr>
          <w:rFonts w:eastAsia="inter" w:cs="inter" w:ascii="inter" w:hAnsi="inter"/>
          <w:color w:val="000000"/>
          <w:sz w:val="21"/>
        </w:rPr>
        <w:t xml:space="preserve">Demonstrate a favorable balance between foreseeable risks attributable to the research and anticipated benefits, clearly distinguishing research-attributable risks from participants’ background risks. The risk to participants must be minimized and justified by potential societal or scientific gains.</w:t>
      </w:r>
      <w:bookmarkStart w:id="84" w:name="fnref67"/>
      <w:bookmarkEnd w:id="84"/>
      <w:hyperlink w:anchor="fn67">
        <w:r>
          <w:rPr>
            <w:rFonts w:eastAsia="inter" w:cs="inter" w:ascii="inter" w:hAnsi="inter"/>
            <w:color w:val="#000"/>
            <w:sz w:val="21"/>
            <w:u w:val="single"/>
            <w:vertAlign w:val="superscript"/>
          </w:rPr>
          <w:t xml:space="preserve">[67]</w:t>
        </w:r>
      </w:hyperlink>
      <w:bookmarkStart w:id="85" w:name="fnref68"/>
      <w:bookmarkEnd w:id="85"/>
      <w:hyperlink w:anchor="fn68">
        <w:r>
          <w:rPr>
            <w:rFonts w:eastAsia="inter" w:cs="inter" w:ascii="inter" w:hAnsi="inter"/>
            <w:color w:val="#000"/>
            <w:sz w:val="21"/>
            <w:u w:val="single"/>
            <w:vertAlign w:val="superscript"/>
          </w:rPr>
          <w:t xml:space="preserve">[68]</w:t>
        </w:r>
      </w:hyperlink>
    </w:p>
    <w:p>
      <w:pPr>
        <w:numPr>
          <w:ilvl w:val="0"/>
          <w:numId w:val="12"/>
        </w:numPr>
        <w:spacing w:line="360" w:after="210" w:lineRule="auto"/>
      </w:pPr>
      <w:r>
        <w:rPr>
          <w:rFonts w:eastAsia="inter" w:cs="inter" w:ascii="inter" w:hAnsi="inter"/>
          <w:b/>
          <w:color w:val="000000"/>
          <w:sz w:val="21"/>
        </w:rPr>
        <w:t xml:space="preserve">Full Board Ethics Review</w:t>
      </w:r>
      <w:r>
        <w:rPr>
          <w:rFonts w:eastAsia="inter" w:cs="inter" w:ascii="inter" w:hAnsi="inter"/>
          <w:color w:val="000000"/>
          <w:sz w:val="21"/>
        </w:rPr>
        <w:br w:type="textWrapping"/>
      </w:r>
      <w:r>
        <w:rPr>
          <w:rFonts w:eastAsia="inter" w:cs="inter" w:ascii="inter" w:hAnsi="inter"/>
          <w:color w:val="000000"/>
          <w:sz w:val="21"/>
        </w:rPr>
        <w:t xml:space="preserve">Since high-risk experiments carry substantial potential harms, they warrant full REB review by a fully convened committee including experts from relevant fields to ensure thorough scrutiny of ethical, scientific, and safety aspects.</w:t>
      </w:r>
      <w:bookmarkStart w:id="86" w:name="fnref68:1"/>
      <w:bookmarkEnd w:id="86"/>
      <w:hyperlink w:anchor="fn68">
        <w:r>
          <w:rPr>
            <w:rFonts w:eastAsia="inter" w:cs="inter" w:ascii="inter" w:hAnsi="inter"/>
            <w:color w:val="#000"/>
            <w:sz w:val="21"/>
            <w:u w:val="single"/>
            <w:vertAlign w:val="superscript"/>
          </w:rPr>
          <w:t xml:space="preserve">[68]</w:t>
        </w:r>
      </w:hyperlink>
      <w:bookmarkStart w:id="87" w:name="fnref67:1"/>
      <w:bookmarkEnd w:id="87"/>
      <w:hyperlink w:anchor="fn67">
        <w:r>
          <w:rPr>
            <w:rFonts w:eastAsia="inter" w:cs="inter" w:ascii="inter" w:hAnsi="inter"/>
            <w:color w:val="#000"/>
            <w:sz w:val="21"/>
            <w:u w:val="single"/>
            <w:vertAlign w:val="superscript"/>
          </w:rPr>
          <w:t xml:space="preserve">[67]</w:t>
        </w:r>
      </w:hyperlink>
    </w:p>
    <w:p>
      <w:pPr>
        <w:numPr>
          <w:ilvl w:val="0"/>
          <w:numId w:val="12"/>
        </w:numPr>
        <w:spacing w:line="360" w:after="210" w:lineRule="auto"/>
      </w:pPr>
      <w:r>
        <w:rPr>
          <w:rFonts w:eastAsia="inter" w:cs="inter" w:ascii="inter" w:hAnsi="inter"/>
          <w:b/>
          <w:color w:val="000000"/>
          <w:sz w:val="21"/>
        </w:rPr>
        <w:t xml:space="preserve">Scientific Validity and Peer Review</w:t>
      </w:r>
      <w:r>
        <w:rPr>
          <w:rFonts w:eastAsia="inter" w:cs="inter" w:ascii="inter" w:hAnsi="inter"/>
          <w:color w:val="000000"/>
          <w:sz w:val="21"/>
        </w:rPr>
        <w:br w:type="textWrapping"/>
      </w:r>
      <w:r>
        <w:rPr>
          <w:rFonts w:eastAsia="inter" w:cs="inter" w:ascii="inter" w:hAnsi="inter"/>
          <w:color w:val="000000"/>
          <w:sz w:val="21"/>
        </w:rPr>
        <w:t xml:space="preserve">The experimental design must be scientifically sound, peer-reviewed, and capable of answering the research questions, ensuring participants’ involvement leads to meaningful knowledge without unnecessary exposure to harm.</w:t>
      </w:r>
      <w:bookmarkStart w:id="88" w:name="fnref68:2"/>
      <w:bookmarkEnd w:id="88"/>
      <w:hyperlink w:anchor="fn68">
        <w:r>
          <w:rPr>
            <w:rFonts w:eastAsia="inter" w:cs="inter" w:ascii="inter" w:hAnsi="inter"/>
            <w:color w:val="#000"/>
            <w:sz w:val="21"/>
            <w:u w:val="single"/>
            <w:vertAlign w:val="superscript"/>
          </w:rPr>
          <w:t xml:space="preserve">[68]</w:t>
        </w:r>
      </w:hyperlink>
    </w:p>
    <w:p>
      <w:pPr>
        <w:numPr>
          <w:ilvl w:val="0"/>
          <w:numId w:val="12"/>
        </w:numPr>
        <w:spacing w:line="360" w:after="210" w:lineRule="auto"/>
      </w:pPr>
      <w:r>
        <w:rPr>
          <w:rFonts w:eastAsia="inter" w:cs="inter" w:ascii="inter" w:hAnsi="inter"/>
          <w:b/>
          <w:color w:val="000000"/>
          <w:sz w:val="21"/>
        </w:rPr>
        <w:t xml:space="preserve">Informed Consent with Clear Communication of Risks</w:t>
      </w:r>
      <w:r>
        <w:rPr>
          <w:rFonts w:eastAsia="inter" w:cs="inter" w:ascii="inter" w:hAnsi="inter"/>
          <w:color w:val="000000"/>
          <w:sz w:val="21"/>
        </w:rPr>
        <w:br w:type="textWrapping"/>
      </w:r>
      <w:r>
        <w:rPr>
          <w:rFonts w:eastAsia="inter" w:cs="inter" w:ascii="inter" w:hAnsi="inter"/>
          <w:color w:val="000000"/>
          <w:sz w:val="21"/>
        </w:rPr>
        <w:t xml:space="preserve">Consent documents and processes must explicitly communicate the specific risks, potential benefits, and alternatives, distinguishing between risks from the research itself and those from participants’ contexts.</w:t>
      </w:r>
      <w:bookmarkStart w:id="89" w:name="fnref67:2"/>
      <w:bookmarkEnd w:id="89"/>
      <w:hyperlink w:anchor="fn67">
        <w:r>
          <w:rPr>
            <w:rFonts w:eastAsia="inter" w:cs="inter" w:ascii="inter" w:hAnsi="inter"/>
            <w:color w:val="#000"/>
            <w:sz w:val="21"/>
            <w:u w:val="single"/>
            <w:vertAlign w:val="superscript"/>
          </w:rPr>
          <w:t xml:space="preserve">[67]</w:t>
        </w:r>
      </w:hyperlink>
      <w:bookmarkStart w:id="90" w:name="fnref68:3"/>
      <w:bookmarkEnd w:id="90"/>
      <w:hyperlink w:anchor="fn68">
        <w:r>
          <w:rPr>
            <w:rFonts w:eastAsia="inter" w:cs="inter" w:ascii="inter" w:hAnsi="inter"/>
            <w:color w:val="#000"/>
            <w:sz w:val="21"/>
            <w:u w:val="single"/>
            <w:vertAlign w:val="superscript"/>
          </w:rPr>
          <w:t xml:space="preserve">[68]</w:t>
        </w:r>
      </w:hyperlink>
    </w:p>
    <w:p>
      <w:pPr>
        <w:numPr>
          <w:ilvl w:val="0"/>
          <w:numId w:val="12"/>
        </w:numPr>
        <w:spacing w:line="360" w:after="210" w:lineRule="auto"/>
      </w:pPr>
      <w:r>
        <w:rPr>
          <w:rFonts w:eastAsia="inter" w:cs="inter" w:ascii="inter" w:hAnsi="inter"/>
          <w:b/>
          <w:color w:val="000000"/>
          <w:sz w:val="21"/>
        </w:rPr>
        <w:t xml:space="preserve">Vulnerable Participant Protections</w:t>
      </w:r>
      <w:r>
        <w:rPr>
          <w:rFonts w:eastAsia="inter" w:cs="inter" w:ascii="inter" w:hAnsi="inter"/>
          <w:color w:val="000000"/>
          <w:sz w:val="21"/>
        </w:rPr>
        <w:br w:type="textWrapping"/>
      </w:r>
      <w:r>
        <w:rPr>
          <w:rFonts w:eastAsia="inter" w:cs="inter" w:ascii="inter" w:hAnsi="inter"/>
          <w:color w:val="000000"/>
          <w:sz w:val="21"/>
        </w:rPr>
        <w:t xml:space="preserve">If vulnerable populations are involved, additional ethical considerations and protections are necessary to prevent exacerbation of vulnerability, including community engagement and cultural sensitivity.</w:t>
      </w:r>
      <w:bookmarkStart w:id="91" w:name="fnref67:3"/>
      <w:bookmarkEnd w:id="91"/>
      <w:hyperlink w:anchor="fn67">
        <w:r>
          <w:rPr>
            <w:rFonts w:eastAsia="inter" w:cs="inter" w:ascii="inter" w:hAnsi="inter"/>
            <w:color w:val="#000"/>
            <w:sz w:val="21"/>
            <w:u w:val="single"/>
            <w:vertAlign w:val="superscript"/>
          </w:rPr>
          <w:t xml:space="preserve">[67]</w:t>
        </w:r>
      </w:hyperlink>
    </w:p>
    <w:p>
      <w:pPr>
        <w:numPr>
          <w:ilvl w:val="0"/>
          <w:numId w:val="12"/>
        </w:numPr>
        <w:spacing w:line="360" w:after="210" w:lineRule="auto"/>
      </w:pPr>
      <w:r>
        <w:rPr>
          <w:rFonts w:eastAsia="inter" w:cs="inter" w:ascii="inter" w:hAnsi="inter"/>
          <w:b/>
          <w:color w:val="000000"/>
          <w:sz w:val="21"/>
        </w:rPr>
        <w:t xml:space="preserve">Ongoing Monitoring and Reporting</w:t>
      </w:r>
      <w:r>
        <w:rPr>
          <w:rFonts w:eastAsia="inter" w:cs="inter" w:ascii="inter" w:hAnsi="inter"/>
          <w:color w:val="000000"/>
          <w:sz w:val="21"/>
        </w:rPr>
        <w:br w:type="textWrapping"/>
      </w:r>
      <w:r>
        <w:rPr>
          <w:rFonts w:eastAsia="inter" w:cs="inter" w:ascii="inter" w:hAnsi="inter"/>
          <w:color w:val="000000"/>
          <w:sz w:val="21"/>
        </w:rPr>
        <w:t xml:space="preserve">Establish continuous oversight with monitoring plans for adverse events, protocol adherence, and ethical compliance throughout the research lifecycle. This includes timely reporting to the REB and provisions for responding to new risks.</w:t>
      </w:r>
      <w:bookmarkStart w:id="92" w:name="fnref68:4"/>
      <w:bookmarkEnd w:id="92"/>
      <w:hyperlink w:anchor="fn68">
        <w:r>
          <w:rPr>
            <w:rFonts w:eastAsia="inter" w:cs="inter" w:ascii="inter" w:hAnsi="inter"/>
            <w:color w:val="#000"/>
            <w:sz w:val="21"/>
            <w:u w:val="single"/>
            <w:vertAlign w:val="superscript"/>
          </w:rPr>
          <w:t xml:space="preserve">[68]</w:t>
        </w:r>
      </w:hyperlink>
    </w:p>
    <w:p>
      <w:pPr>
        <w:numPr>
          <w:ilvl w:val="0"/>
          <w:numId w:val="12"/>
        </w:numPr>
        <w:spacing w:line="360" w:after="210" w:lineRule="auto"/>
      </w:pPr>
      <w:r>
        <w:rPr>
          <w:rFonts w:eastAsia="inter" w:cs="inter" w:ascii="inter" w:hAnsi="inter"/>
          <w:b/>
          <w:color w:val="000000"/>
          <w:sz w:val="21"/>
        </w:rPr>
        <w:t xml:space="preserve">Conflict of Interest Management</w:t>
      </w:r>
      <w:r>
        <w:rPr>
          <w:rFonts w:eastAsia="inter" w:cs="inter" w:ascii="inter" w:hAnsi="inter"/>
          <w:color w:val="000000"/>
          <w:sz w:val="21"/>
        </w:rPr>
        <w:br w:type="textWrapping"/>
      </w:r>
      <w:r>
        <w:rPr>
          <w:rFonts w:eastAsia="inter" w:cs="inter" w:ascii="inter" w:hAnsi="inter"/>
          <w:color w:val="000000"/>
          <w:sz w:val="21"/>
        </w:rPr>
        <w:t xml:space="preserve">Identify and mitigate any conflicts of interest that may compromise the safety or well-being of participants or the integrity of the research.</w:t>
      </w:r>
      <w:bookmarkStart w:id="93" w:name="fnref68:5"/>
      <w:bookmarkEnd w:id="93"/>
      <w:hyperlink w:anchor="fn68">
        <w:r>
          <w:rPr>
            <w:rFonts w:eastAsia="inter" w:cs="inter" w:ascii="inter" w:hAnsi="inter"/>
            <w:color w:val="#000"/>
            <w:sz w:val="21"/>
            <w:u w:val="single"/>
            <w:vertAlign w:val="superscript"/>
          </w:rPr>
          <w:t xml:space="preserve">[68]</w:t>
        </w:r>
      </w:hyperlink>
    </w:p>
    <w:p>
      <w:pPr>
        <w:numPr>
          <w:ilvl w:val="0"/>
          <w:numId w:val="12"/>
        </w:numPr>
        <w:spacing w:line="360" w:after="210" w:lineRule="auto"/>
      </w:pPr>
      <w:r>
        <w:rPr>
          <w:rFonts w:eastAsia="inter" w:cs="inter" w:ascii="inter" w:hAnsi="inter"/>
          <w:b/>
          <w:color w:val="000000"/>
          <w:sz w:val="21"/>
        </w:rPr>
        <w:t xml:space="preserve">Equitable Participant Selection</w:t>
      </w:r>
      <w:r>
        <w:rPr>
          <w:rFonts w:eastAsia="inter" w:cs="inter" w:ascii="inter" w:hAnsi="inter"/>
          <w:color w:val="000000"/>
          <w:sz w:val="21"/>
        </w:rPr>
        <w:br w:type="textWrapping"/>
      </w:r>
      <w:r>
        <w:rPr>
          <w:rFonts w:eastAsia="inter" w:cs="inter" w:ascii="inter" w:hAnsi="inter"/>
          <w:color w:val="000000"/>
          <w:sz w:val="21"/>
        </w:rPr>
        <w:t xml:space="preserve">Ensure fair and just recruitment practices, avoiding exploitation or exclusion of participants without scientific rationale.</w:t>
      </w:r>
      <w:bookmarkStart w:id="94" w:name="fnref68:6"/>
      <w:bookmarkEnd w:id="94"/>
      <w:hyperlink w:anchor="fn68">
        <w:r>
          <w:rPr>
            <w:rFonts w:eastAsia="inter" w:cs="inter" w:ascii="inter" w:hAnsi="inter"/>
            <w:color w:val="#000"/>
            <w:sz w:val="21"/>
            <w:u w:val="single"/>
            <w:vertAlign w:val="superscript"/>
          </w:rPr>
          <w:t xml:space="preserve">[68]</w:t>
        </w:r>
      </w:hyperlink>
    </w:p>
    <w:p>
      <w:pPr>
        <w:spacing w:line="360" w:after="210" w:lineRule="auto"/>
      </w:pPr>
      <w:r>
        <w:rPr>
          <w:rFonts w:eastAsia="inter" w:cs="inter" w:ascii="inter" w:hAnsi="inter"/>
          <w:color w:val="000000"/>
        </w:rPr>
        <w:t xml:space="preserve">Donna would say: rÆ’s safeguards don’t ask for permission; they earn it by showing they’ve thought of every angle—from risk to rigor—with all the paperwork, protections, and panache needed to keep the science dazzling and the regulators smiling.</w:t>
      </w:r>
    </w:p>
    <w:p>
      <w:pPr>
        <w:spacing w:line="360" w:after="210" w:lineRule="auto"/>
      </w:pPr>
      <w:r>
        <w:rPr>
          <w:rFonts w:eastAsia="inter" w:cs="inter" w:ascii="inter" w:hAnsi="inter"/>
          <w:color w:val="000000"/>
        </w:rPr>
        <w:t xml:space="preserve">Put simply, a thorough, transparent, dynamic, and participant-centered approach is the rÆ recipe to satisfy REB proportionate review standards for high-stakes research.</w:t>
      </w:r>
      <w:bookmarkStart w:id="95" w:name="fnref69"/>
      <w:bookmarkEnd w:id="95"/>
      <w:hyperlink w:anchor="fn69">
        <w:r>
          <w:rPr>
            <w:rFonts w:eastAsia="inter" w:cs="inter" w:ascii="inter" w:hAnsi="inter"/>
            <w:color w:val="#000"/>
            <w:u w:val="single"/>
            <w:vertAlign w:val="superscript"/>
          </w:rPr>
          <w:t xml:space="preserve">[69]</w:t>
        </w:r>
      </w:hyperlink>
      <w:bookmarkStart w:id="96" w:name="fnref67:4"/>
      <w:bookmarkEnd w:id="96"/>
      <w:hyperlink w:anchor="fn67">
        <w:r>
          <w:rPr>
            <w:rFonts w:eastAsia="inter" w:cs="inter" w:ascii="inter" w:hAnsi="inter"/>
            <w:color w:val="#000"/>
            <w:u w:val="single"/>
            <w:vertAlign w:val="superscript"/>
          </w:rPr>
          <w:t xml:space="preserve">[67]</w:t>
        </w:r>
      </w:hyperlink>
      <w:bookmarkStart w:id="97" w:name="fnref68:7"/>
      <w:bookmarkEnd w:id="97"/>
      <w:hyperlink w:anchor="fn68">
        <w:r>
          <w:rPr>
            <w:rFonts w:eastAsia="inter" w:cs="inter" w:ascii="inter" w:hAnsi="inter"/>
            <w:color w:val="#000"/>
            <w:u w:val="single"/>
            <w:vertAlign w:val="superscript"/>
          </w:rPr>
          <w:t xml:space="preserve">[68]</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should rÆ document risk mitigation for delegated REB review</w:t>
      </w:r>
    </w:p>
    <w:p>
      <w:pPr>
        <w:spacing w:line="360" w:after="210" w:lineRule="auto"/>
      </w:pPr>
      <w:r>
        <w:rPr>
          <w:rFonts w:eastAsia="inter" w:cs="inter" w:ascii="inter" w:hAnsi="inter"/>
          <w:color w:val="000000"/>
        </w:rPr>
        <w:t xml:space="preserve">rÆ should document risk mitigation for delegated Research Ethics Board (REB) review with clarity, thoroughness, and structure that meets minimal risk criteria and demonstrates proactive controls.</w:t>
      </w:r>
    </w:p>
    <w:p>
      <w:pPr>
        <w:spacing w:line="360" w:before="315" w:after="105" w:lineRule="auto"/>
        <w:ind w:left="-30"/>
        <w:jc w:val="left"/>
      </w:pPr>
      <w:r>
        <w:rPr>
          <w:rFonts w:eastAsia="inter" w:cs="inter" w:ascii="inter" w:hAnsi="inter"/>
          <w:b/>
          <w:color w:val="000000"/>
          <w:sz w:val="24"/>
        </w:rPr>
        <w:t xml:space="preserve">Documentation Best Practices for Delegated REB Review</w:t>
      </w:r>
    </w:p>
    <w:p>
      <w:pPr>
        <w:numPr>
          <w:ilvl w:val="0"/>
          <w:numId w:val="13"/>
        </w:numPr>
        <w:spacing w:line="360" w:after="210" w:lineRule="auto"/>
      </w:pPr>
      <w:r>
        <w:rPr>
          <w:rFonts w:eastAsia="inter" w:cs="inter" w:ascii="inter" w:hAnsi="inter"/>
          <w:b/>
          <w:color w:val="000000"/>
          <w:sz w:val="21"/>
        </w:rPr>
        <w:t xml:space="preserve">Clear Risk Description and Justification</w:t>
      </w:r>
      <w:r>
        <w:rPr>
          <w:rFonts w:eastAsia="inter" w:cs="inter" w:ascii="inter" w:hAnsi="inter"/>
          <w:color w:val="000000"/>
          <w:sz w:val="21"/>
        </w:rPr>
        <w:br w:type="textWrapping"/>
      </w:r>
      <w:r>
        <w:rPr>
          <w:rFonts w:eastAsia="inter" w:cs="inter" w:ascii="inter" w:hAnsi="inter"/>
          <w:color w:val="000000"/>
          <w:sz w:val="21"/>
        </w:rPr>
        <w:t xml:space="preserve">Clearly identify and explain the specific risks involved in the research, differentiating minimal risks versus any that might exceed minimal criteria. Use tools like a risk matrix to articulate probability and magnitude of harm.</w:t>
      </w:r>
      <w:bookmarkStart w:id="98" w:name="fnref77"/>
      <w:bookmarkEnd w:id="98"/>
      <w:hyperlink w:anchor="fn77">
        <w:r>
          <w:rPr>
            <w:rFonts w:eastAsia="inter" w:cs="inter" w:ascii="inter" w:hAnsi="inter"/>
            <w:color w:val="#000"/>
            <w:sz w:val="21"/>
            <w:u w:val="single"/>
            <w:vertAlign w:val="superscript"/>
          </w:rPr>
          <w:t xml:space="preserve">[77]</w:t>
        </w:r>
      </w:hyperlink>
      <w:bookmarkStart w:id="99" w:name="fnref78"/>
      <w:bookmarkEnd w:id="99"/>
      <w:hyperlink w:anchor="fn78">
        <w:r>
          <w:rPr>
            <w:rFonts w:eastAsia="inter" w:cs="inter" w:ascii="inter" w:hAnsi="inter"/>
            <w:color w:val="#000"/>
            <w:sz w:val="21"/>
            <w:u w:val="single"/>
            <w:vertAlign w:val="superscript"/>
          </w:rPr>
          <w:t xml:space="preserve">[78]</w:t>
        </w:r>
      </w:hyperlink>
    </w:p>
    <w:p>
      <w:pPr>
        <w:numPr>
          <w:ilvl w:val="0"/>
          <w:numId w:val="13"/>
        </w:numPr>
        <w:spacing w:line="360" w:after="210" w:lineRule="auto"/>
      </w:pPr>
      <w:r>
        <w:rPr>
          <w:rFonts w:eastAsia="inter" w:cs="inter" w:ascii="inter" w:hAnsi="inter"/>
          <w:b/>
          <w:color w:val="000000"/>
          <w:sz w:val="21"/>
        </w:rPr>
        <w:t xml:space="preserve">Detailed Mitigation Strategies</w:t>
      </w:r>
      <w:r>
        <w:rPr>
          <w:rFonts w:eastAsia="inter" w:cs="inter" w:ascii="inter" w:hAnsi="inter"/>
          <w:color w:val="000000"/>
          <w:sz w:val="21"/>
        </w:rPr>
        <w:br w:type="textWrapping"/>
      </w:r>
      <w:r>
        <w:rPr>
          <w:rFonts w:eastAsia="inter" w:cs="inter" w:ascii="inter" w:hAnsi="inter"/>
          <w:color w:val="000000"/>
          <w:sz w:val="21"/>
        </w:rPr>
        <w:t xml:space="preserve">Provide explicit descriptions of all measures to minimize identified risks, such as safety protocols, data protection mechanisms, participant screening, and monitoring plans. This reassures the delegated reviewers that risks are actively controlled.</w:t>
      </w:r>
      <w:bookmarkStart w:id="100" w:name="fnref78:1"/>
      <w:bookmarkEnd w:id="100"/>
      <w:hyperlink w:anchor="fn78">
        <w:r>
          <w:rPr>
            <w:rFonts w:eastAsia="inter" w:cs="inter" w:ascii="inter" w:hAnsi="inter"/>
            <w:color w:val="#000"/>
            <w:sz w:val="21"/>
            <w:u w:val="single"/>
            <w:vertAlign w:val="superscript"/>
          </w:rPr>
          <w:t xml:space="preserve">[78]</w:t>
        </w:r>
      </w:hyperlink>
      <w:bookmarkStart w:id="101" w:name="fnref79"/>
      <w:bookmarkEnd w:id="101"/>
      <w:hyperlink w:anchor="fn79">
        <w:r>
          <w:rPr>
            <w:rFonts w:eastAsia="inter" w:cs="inter" w:ascii="inter" w:hAnsi="inter"/>
            <w:color w:val="#000"/>
            <w:sz w:val="21"/>
            <w:u w:val="single"/>
            <w:vertAlign w:val="superscript"/>
          </w:rPr>
          <w:t xml:space="preserve">[79]</w:t>
        </w:r>
      </w:hyperlink>
    </w:p>
    <w:p>
      <w:pPr>
        <w:numPr>
          <w:ilvl w:val="0"/>
          <w:numId w:val="13"/>
        </w:numPr>
        <w:spacing w:line="360" w:after="210" w:lineRule="auto"/>
      </w:pPr>
      <w:r>
        <w:rPr>
          <w:rFonts w:eastAsia="inter" w:cs="inter" w:ascii="inter" w:hAnsi="inter"/>
          <w:b/>
          <w:color w:val="000000"/>
          <w:sz w:val="21"/>
        </w:rPr>
        <w:t xml:space="preserve">Informed Consent Documentation</w:t>
      </w:r>
      <w:r>
        <w:rPr>
          <w:rFonts w:eastAsia="inter" w:cs="inter" w:ascii="inter" w:hAnsi="inter"/>
          <w:color w:val="000000"/>
          <w:sz w:val="21"/>
        </w:rPr>
        <w:br w:type="textWrapping"/>
      </w:r>
      <w:r>
        <w:rPr>
          <w:rFonts w:eastAsia="inter" w:cs="inter" w:ascii="inter" w:hAnsi="inter"/>
          <w:color w:val="000000"/>
          <w:sz w:val="21"/>
        </w:rPr>
        <w:t xml:space="preserve">Include clear, transparent language in consent forms detailing potential risks and mitigation measures to ensure participants are fully informed about how their safety and data privacy will be protected.</w:t>
      </w:r>
      <w:bookmarkStart w:id="102" w:name="fnref80"/>
      <w:bookmarkEnd w:id="102"/>
      <w:hyperlink w:anchor="fn80">
        <w:r>
          <w:rPr>
            <w:rFonts w:eastAsia="inter" w:cs="inter" w:ascii="inter" w:hAnsi="inter"/>
            <w:color w:val="#000"/>
            <w:sz w:val="21"/>
            <w:u w:val="single"/>
            <w:vertAlign w:val="superscript"/>
          </w:rPr>
          <w:t xml:space="preserve">[80]</w:t>
        </w:r>
      </w:hyperlink>
      <w:bookmarkStart w:id="103" w:name="fnref81"/>
      <w:bookmarkEnd w:id="103"/>
      <w:hyperlink w:anchor="fn81">
        <w:r>
          <w:rPr>
            <w:rFonts w:eastAsia="inter" w:cs="inter" w:ascii="inter" w:hAnsi="inter"/>
            <w:color w:val="#000"/>
            <w:sz w:val="21"/>
            <w:u w:val="single"/>
            <w:vertAlign w:val="superscript"/>
          </w:rPr>
          <w:t xml:space="preserve">[81]</w:t>
        </w:r>
      </w:hyperlink>
    </w:p>
    <w:p>
      <w:pPr>
        <w:numPr>
          <w:ilvl w:val="0"/>
          <w:numId w:val="13"/>
        </w:numPr>
        <w:spacing w:line="360" w:after="210" w:lineRule="auto"/>
      </w:pPr>
      <w:r>
        <w:rPr>
          <w:rFonts w:eastAsia="inter" w:cs="inter" w:ascii="inter" w:hAnsi="inter"/>
          <w:b/>
          <w:color w:val="000000"/>
          <w:sz w:val="21"/>
        </w:rPr>
        <w:t xml:space="preserve">Adherence to Minimal Risk Definition</w:t>
      </w:r>
      <w:r>
        <w:rPr>
          <w:rFonts w:eastAsia="inter" w:cs="inter" w:ascii="inter" w:hAnsi="inter"/>
          <w:color w:val="000000"/>
          <w:sz w:val="21"/>
        </w:rPr>
        <w:br w:type="textWrapping"/>
      </w:r>
      <w:r>
        <w:rPr>
          <w:rFonts w:eastAsia="inter" w:cs="inter" w:ascii="inter" w:hAnsi="inter"/>
          <w:color w:val="000000"/>
          <w:sz w:val="21"/>
        </w:rPr>
        <w:t xml:space="preserve">Confirm how the research fits within the definition of minimal risk ("no greater than those encountered in everyday life" per TCPS2), supporting eligibility for delegated review.</w:t>
      </w:r>
      <w:bookmarkStart w:id="104" w:name="fnref82"/>
      <w:bookmarkEnd w:id="104"/>
      <w:hyperlink w:anchor="fn82">
        <w:r>
          <w:rPr>
            <w:rFonts w:eastAsia="inter" w:cs="inter" w:ascii="inter" w:hAnsi="inter"/>
            <w:color w:val="#000"/>
            <w:sz w:val="21"/>
            <w:u w:val="single"/>
            <w:vertAlign w:val="superscript"/>
          </w:rPr>
          <w:t xml:space="preserve">[82]</w:t>
        </w:r>
      </w:hyperlink>
      <w:bookmarkStart w:id="105" w:name="fnref78:2"/>
      <w:bookmarkEnd w:id="105"/>
      <w:hyperlink w:anchor="fn78">
        <w:r>
          <w:rPr>
            <w:rFonts w:eastAsia="inter" w:cs="inter" w:ascii="inter" w:hAnsi="inter"/>
            <w:color w:val="#000"/>
            <w:sz w:val="21"/>
            <w:u w:val="single"/>
            <w:vertAlign w:val="superscript"/>
          </w:rPr>
          <w:t xml:space="preserve">[78]</w:t>
        </w:r>
      </w:hyperlink>
    </w:p>
    <w:p>
      <w:pPr>
        <w:numPr>
          <w:ilvl w:val="0"/>
          <w:numId w:val="13"/>
        </w:numPr>
        <w:spacing w:line="360" w:after="210" w:lineRule="auto"/>
      </w:pPr>
      <w:r>
        <w:rPr>
          <w:rFonts w:eastAsia="inter" w:cs="inter" w:ascii="inter" w:hAnsi="inter"/>
          <w:b/>
          <w:color w:val="000000"/>
          <w:sz w:val="21"/>
        </w:rPr>
        <w:t xml:space="preserve">Communication and Reporting Plans</w:t>
      </w:r>
      <w:r>
        <w:rPr>
          <w:rFonts w:eastAsia="inter" w:cs="inter" w:ascii="inter" w:hAnsi="inter"/>
          <w:color w:val="000000"/>
          <w:sz w:val="21"/>
        </w:rPr>
        <w:br w:type="textWrapping"/>
      </w:r>
      <w:r>
        <w:rPr>
          <w:rFonts w:eastAsia="inter" w:cs="inter" w:ascii="inter" w:hAnsi="inter"/>
          <w:color w:val="000000"/>
          <w:sz w:val="21"/>
        </w:rPr>
        <w:t xml:space="preserve">Outline processes for ongoing risk monitoring, adverse event reporting, and escalation protocols if risks increase or unanticipated harms emerge, demonstrating preparedness for dynamic risk management.</w:t>
      </w:r>
      <w:bookmarkStart w:id="106" w:name="fnref83"/>
      <w:bookmarkEnd w:id="106"/>
      <w:hyperlink w:anchor="fn83">
        <w:r>
          <w:rPr>
            <w:rFonts w:eastAsia="inter" w:cs="inter" w:ascii="inter" w:hAnsi="inter"/>
            <w:color w:val="#000"/>
            <w:sz w:val="21"/>
            <w:u w:val="single"/>
            <w:vertAlign w:val="superscript"/>
          </w:rPr>
          <w:t xml:space="preserve">[83]</w:t>
        </w:r>
      </w:hyperlink>
      <w:bookmarkStart w:id="107" w:name="fnref82:1"/>
      <w:bookmarkEnd w:id="107"/>
      <w:hyperlink w:anchor="fn82">
        <w:r>
          <w:rPr>
            <w:rFonts w:eastAsia="inter" w:cs="inter" w:ascii="inter" w:hAnsi="inter"/>
            <w:color w:val="#000"/>
            <w:sz w:val="21"/>
            <w:u w:val="single"/>
            <w:vertAlign w:val="superscript"/>
          </w:rPr>
          <w:t xml:space="preserve">[82]</w:t>
        </w:r>
      </w:hyperlink>
    </w:p>
    <w:p>
      <w:pPr>
        <w:numPr>
          <w:ilvl w:val="0"/>
          <w:numId w:val="13"/>
        </w:numPr>
        <w:spacing w:line="360" w:after="210" w:lineRule="auto"/>
      </w:pPr>
      <w:r>
        <w:rPr>
          <w:rFonts w:eastAsia="inter" w:cs="inter" w:ascii="inter" w:hAnsi="inter"/>
          <w:b/>
          <w:color w:val="000000"/>
          <w:sz w:val="21"/>
        </w:rPr>
        <w:t xml:space="preserve">Documentation of Delegated Review Eligibility</w:t>
      </w:r>
      <w:r>
        <w:rPr>
          <w:rFonts w:eastAsia="inter" w:cs="inter" w:ascii="inter" w:hAnsi="inter"/>
          <w:color w:val="000000"/>
          <w:sz w:val="21"/>
        </w:rPr>
        <w:br w:type="textWrapping"/>
      </w:r>
      <w:r>
        <w:rPr>
          <w:rFonts w:eastAsia="inter" w:cs="inter" w:ascii="inter" w:hAnsi="inter"/>
          <w:color w:val="000000"/>
          <w:sz w:val="21"/>
        </w:rPr>
        <w:t xml:space="preserve">Include assessments or prior communications with REB Chairs or designated reviewers indicating preliminary eligibility for delegated review, providing traceability for decisions.</w:t>
      </w:r>
      <w:bookmarkStart w:id="108" w:name="fnref84"/>
      <w:bookmarkEnd w:id="108"/>
      <w:hyperlink w:anchor="fn84">
        <w:r>
          <w:rPr>
            <w:rFonts w:eastAsia="inter" w:cs="inter" w:ascii="inter" w:hAnsi="inter"/>
            <w:color w:val="#000"/>
            <w:sz w:val="21"/>
            <w:u w:val="single"/>
            <w:vertAlign w:val="superscript"/>
          </w:rPr>
          <w:t xml:space="preserve">[84]</w:t>
        </w:r>
      </w:hyperlink>
    </w:p>
    <w:p>
      <w:pPr>
        <w:spacing w:line="360" w:after="210" w:lineRule="auto"/>
      </w:pPr>
      <w:r>
        <w:rPr>
          <w:rFonts w:eastAsia="inter" w:cs="inter" w:ascii="inter" w:hAnsi="inter"/>
          <w:color w:val="000000"/>
        </w:rPr>
        <w:t xml:space="preserve">Donna would say: rÆ’s risk mitigation documentation is so tight and transparent, it basically sends a polite but firm “trust but verify” vibe to the REB—showing every angle, control, and fallback like a pro on a prime-time pitch. Minimal risk, maximum confidence.</w:t>
      </w:r>
    </w:p>
    <w:p>
      <w:pPr>
        <w:spacing w:line="360" w:after="210" w:lineRule="auto"/>
      </w:pPr>
      <w:r>
        <w:rPr>
          <w:rFonts w:eastAsia="inter" w:cs="inter" w:ascii="inter" w:hAnsi="inter"/>
          <w:color w:val="000000"/>
        </w:rPr>
        <w:t xml:space="preserve">With such documentation, rÆ confidently ticks all delegated review boxes, keeping innovation nimble without sacrificing integrity or safety.</w:t>
      </w:r>
      <w:bookmarkStart w:id="109" w:name="fnref79:1"/>
      <w:bookmarkEnd w:id="109"/>
      <w:hyperlink w:anchor="fn79">
        <w:r>
          <w:rPr>
            <w:rFonts w:eastAsia="inter" w:cs="inter" w:ascii="inter" w:hAnsi="inter"/>
            <w:color w:val="#000"/>
            <w:u w:val="single"/>
            <w:vertAlign w:val="superscript"/>
          </w:rPr>
          <w:t xml:space="preserve">[79]</w:t>
        </w:r>
      </w:hyperlink>
      <w:bookmarkStart w:id="110" w:name="fnref82:2"/>
      <w:bookmarkEnd w:id="110"/>
      <w:hyperlink w:anchor="fn82">
        <w:r>
          <w:rPr>
            <w:rFonts w:eastAsia="inter" w:cs="inter" w:ascii="inter" w:hAnsi="inter"/>
            <w:color w:val="#000"/>
            <w:u w:val="single"/>
            <w:vertAlign w:val="superscript"/>
          </w:rPr>
          <w:t xml:space="preserve">[82]</w:t>
        </w:r>
      </w:hyperlink>
      <w:bookmarkStart w:id="111" w:name="fnref77:1"/>
      <w:bookmarkEnd w:id="111"/>
      <w:hyperlink w:anchor="fn77">
        <w:r>
          <w:rPr>
            <w:rFonts w:eastAsia="inter" w:cs="inter" w:ascii="inter" w:hAnsi="inter"/>
            <w:color w:val="#000"/>
            <w:u w:val="single"/>
            <w:vertAlign w:val="superscript"/>
          </w:rPr>
          <w:t xml:space="preserve">[77]</w:t>
        </w:r>
      </w:hyperlink>
      <w:bookmarkStart w:id="112" w:name="fnref78:3"/>
      <w:bookmarkEnd w:id="112"/>
      <w:hyperlink w:anchor="fn78">
        <w:r>
          <w:rPr>
            <w:rFonts w:eastAsia="inter" w:cs="inter" w:ascii="inter" w:hAnsi="inter"/>
            <w:color w:val="#000"/>
            <w:u w:val="single"/>
            <w:vertAlign w:val="superscript"/>
          </w:rPr>
          <w:t xml:space="preserve">[78]</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can I concisely show proportional oversight and reviewer selection for rÆ</w:t>
      </w:r>
    </w:p>
    <w:p>
      <w:pPr>
        <w:spacing w:line="360" w:after="210" w:lineRule="auto"/>
      </w:pPr>
      <w:r>
        <w:rPr>
          <w:rFonts w:eastAsia="inter" w:cs="inter" w:ascii="inter" w:hAnsi="inter"/>
          <w:color w:val="000000"/>
        </w:rPr>
        <w:t xml:space="preserve">To concisely show proportional oversight and reviewer selection for rÆ, the approach should clearly map the level of review rigor to the risk and complexity of the research, and demonstrate a systematic, transparent reviewer selection process ensuring expertise and impartiality.</w:t>
      </w:r>
    </w:p>
    <w:p>
      <w:pPr>
        <w:spacing w:line="360" w:before="315" w:after="105" w:lineRule="auto"/>
        <w:ind w:left="-30"/>
        <w:jc w:val="left"/>
      </w:pPr>
      <w:r>
        <w:rPr>
          <w:rFonts w:eastAsia="inter" w:cs="inter" w:ascii="inter" w:hAnsi="inter"/>
          <w:b/>
          <w:color w:val="000000"/>
          <w:sz w:val="24"/>
        </w:rPr>
        <w:t xml:space="preserve">How to Show Proportional Oversight</w:t>
      </w:r>
    </w:p>
    <w:p>
      <w:pPr>
        <w:numPr>
          <w:ilvl w:val="0"/>
          <w:numId w:val="14"/>
        </w:numPr>
        <w:spacing w:line="360" w:after="210" w:lineRule="auto"/>
      </w:pPr>
      <w:r>
        <w:rPr>
          <w:rFonts w:eastAsia="inter" w:cs="inter" w:ascii="inter" w:hAnsi="inter"/>
          <w:b/>
          <w:color w:val="000000"/>
          <w:sz w:val="21"/>
        </w:rPr>
        <w:t xml:space="preserve">Risk-Based Oversight Levels</w:t>
      </w:r>
      <w:r>
        <w:rPr>
          <w:rFonts w:eastAsia="inter" w:cs="inter" w:ascii="inter" w:hAnsi="inter"/>
          <w:color w:val="000000"/>
          <w:sz w:val="21"/>
        </w:rPr>
        <w:br w:type="textWrapping"/>
      </w:r>
      <w:r>
        <w:rPr>
          <w:rFonts w:eastAsia="inter" w:cs="inter" w:ascii="inter" w:hAnsi="inter"/>
          <w:color w:val="000000"/>
          <w:sz w:val="21"/>
        </w:rPr>
        <w:t xml:space="preserve">Present a tiered model where minimal-risk projects get streamlined or delegated review, medium-risk projects get expedited full committee review, and high-risk projects receive comprehensive full board review.</w:t>
      </w:r>
      <w:bookmarkStart w:id="113" w:name="fnref89"/>
      <w:bookmarkEnd w:id="113"/>
      <w:hyperlink w:anchor="fn89">
        <w:r>
          <w:rPr>
            <w:rFonts w:eastAsia="inter" w:cs="inter" w:ascii="inter" w:hAnsi="inter"/>
            <w:color w:val="#000"/>
            <w:sz w:val="21"/>
            <w:u w:val="single"/>
            <w:vertAlign w:val="superscript"/>
          </w:rPr>
          <w:t xml:space="preserve">[89]</w:t>
        </w:r>
      </w:hyperlink>
    </w:p>
    <w:p>
      <w:pPr>
        <w:numPr>
          <w:ilvl w:val="0"/>
          <w:numId w:val="14"/>
        </w:numPr>
        <w:spacing w:line="360" w:after="210" w:lineRule="auto"/>
      </w:pPr>
      <w:r>
        <w:rPr>
          <w:rFonts w:eastAsia="inter" w:cs="inter" w:ascii="inter" w:hAnsi="inter"/>
          <w:b/>
          <w:color w:val="000000"/>
          <w:sz w:val="21"/>
        </w:rPr>
        <w:t xml:space="preserve">Clear Criteria for Escalation</w:t>
      </w:r>
      <w:r>
        <w:rPr>
          <w:rFonts w:eastAsia="inter" w:cs="inter" w:ascii="inter" w:hAnsi="inter"/>
          <w:color w:val="000000"/>
          <w:sz w:val="21"/>
        </w:rPr>
        <w:br w:type="textWrapping"/>
      </w:r>
      <w:r>
        <w:rPr>
          <w:rFonts w:eastAsia="inter" w:cs="inter" w:ascii="inter" w:hAnsi="inter"/>
          <w:color w:val="000000"/>
          <w:sz w:val="21"/>
        </w:rPr>
        <w:t xml:space="preserve">Explain triggers that move a study to higher oversight based on emerging risks, complexity, vulnerable populations, or novel technologies, ensuring oversight scales with potential impact.</w:t>
      </w:r>
      <w:bookmarkStart w:id="114" w:name="fnref90"/>
      <w:bookmarkEnd w:id="114"/>
      <w:hyperlink w:anchor="fn90">
        <w:r>
          <w:rPr>
            <w:rFonts w:eastAsia="inter" w:cs="inter" w:ascii="inter" w:hAnsi="inter"/>
            <w:color w:val="#000"/>
            <w:sz w:val="21"/>
            <w:u w:val="single"/>
            <w:vertAlign w:val="superscript"/>
          </w:rPr>
          <w:t xml:space="preserve">[90]</w:t>
        </w:r>
      </w:hyperlink>
      <w:bookmarkStart w:id="115" w:name="fnref91"/>
      <w:bookmarkEnd w:id="115"/>
      <w:hyperlink w:anchor="fn91">
        <w:r>
          <w:rPr>
            <w:rFonts w:eastAsia="inter" w:cs="inter" w:ascii="inter" w:hAnsi="inter"/>
            <w:color w:val="#000"/>
            <w:sz w:val="21"/>
            <w:u w:val="single"/>
            <w:vertAlign w:val="superscript"/>
          </w:rPr>
          <w:t xml:space="preserve">[91]</w:t>
        </w:r>
      </w:hyperlink>
    </w:p>
    <w:p>
      <w:pPr>
        <w:numPr>
          <w:ilvl w:val="0"/>
          <w:numId w:val="14"/>
        </w:numPr>
        <w:spacing w:line="360" w:after="210" w:lineRule="auto"/>
      </w:pPr>
      <w:r>
        <w:rPr>
          <w:rFonts w:eastAsia="inter" w:cs="inter" w:ascii="inter" w:hAnsi="inter"/>
          <w:b/>
          <w:color w:val="000000"/>
          <w:sz w:val="21"/>
        </w:rPr>
        <w:t xml:space="preserve">Dynamic Monitoring and Feedback</w:t>
      </w:r>
      <w:r>
        <w:rPr>
          <w:rFonts w:eastAsia="inter" w:cs="inter" w:ascii="inter" w:hAnsi="inter"/>
          <w:color w:val="000000"/>
          <w:sz w:val="21"/>
        </w:rPr>
        <w:br w:type="textWrapping"/>
      </w:r>
      <w:r>
        <w:rPr>
          <w:rFonts w:eastAsia="inter" w:cs="inter" w:ascii="inter" w:hAnsi="inter"/>
          <w:color w:val="000000"/>
          <w:sz w:val="21"/>
        </w:rPr>
        <w:t xml:space="preserve">Illustrate how real-time monitoring and reporting mechanisms feed back into oversight decisions for adaptive proportionality.</w:t>
      </w:r>
      <w:bookmarkStart w:id="116" w:name="fnref92"/>
      <w:bookmarkEnd w:id="116"/>
      <w:hyperlink w:anchor="fn92">
        <w:r>
          <w:rPr>
            <w:rFonts w:eastAsia="inter" w:cs="inter" w:ascii="inter" w:hAnsi="inter"/>
            <w:color w:val="#000"/>
            <w:sz w:val="21"/>
            <w:u w:val="single"/>
            <w:vertAlign w:val="superscript"/>
          </w:rPr>
          <w:t xml:space="preserve">[92]</w:t>
        </w:r>
      </w:hyperlink>
    </w:p>
    <w:p>
      <w:pPr>
        <w:spacing w:line="360" w:before="315" w:after="105" w:lineRule="auto"/>
        <w:ind w:left="-30"/>
        <w:jc w:val="left"/>
      </w:pPr>
      <w:r>
        <w:rPr>
          <w:rFonts w:eastAsia="inter" w:cs="inter" w:ascii="inter" w:hAnsi="inter"/>
          <w:b/>
          <w:color w:val="000000"/>
          <w:sz w:val="24"/>
        </w:rPr>
        <w:t xml:space="preserve">How to Show Reviewer Selection</w:t>
      </w:r>
    </w:p>
    <w:p>
      <w:pPr>
        <w:numPr>
          <w:ilvl w:val="0"/>
          <w:numId w:val="15"/>
        </w:numPr>
        <w:spacing w:line="360" w:after="210" w:lineRule="auto"/>
      </w:pPr>
      <w:r>
        <w:rPr>
          <w:rFonts w:eastAsia="inter" w:cs="inter" w:ascii="inter" w:hAnsi="inter"/>
          <w:b/>
          <w:color w:val="000000"/>
          <w:sz w:val="21"/>
        </w:rPr>
        <w:t xml:space="preserve">Expertise Alignment</w:t>
      </w:r>
      <w:r>
        <w:rPr>
          <w:rFonts w:eastAsia="inter" w:cs="inter" w:ascii="inter" w:hAnsi="inter"/>
          <w:color w:val="000000"/>
          <w:sz w:val="21"/>
        </w:rPr>
        <w:br w:type="textWrapping"/>
      </w:r>
      <w:r>
        <w:rPr>
          <w:rFonts w:eastAsia="inter" w:cs="inter" w:ascii="inter" w:hAnsi="inter"/>
          <w:color w:val="000000"/>
          <w:sz w:val="21"/>
        </w:rPr>
        <w:t xml:space="preserve">Describe selecting reviewers with domain-specific expertise aligned with the scientific, ethical, and methodological aspects of the study to ensure qualified evaluation.</w:t>
      </w:r>
      <w:bookmarkStart w:id="117" w:name="fnref93"/>
      <w:bookmarkEnd w:id="117"/>
      <w:hyperlink w:anchor="fn93">
        <w:r>
          <w:rPr>
            <w:rFonts w:eastAsia="inter" w:cs="inter" w:ascii="inter" w:hAnsi="inter"/>
            <w:color w:val="#000"/>
            <w:sz w:val="21"/>
            <w:u w:val="single"/>
            <w:vertAlign w:val="superscript"/>
          </w:rPr>
          <w:t xml:space="preserve">[93]</w:t>
        </w:r>
      </w:hyperlink>
      <w:bookmarkStart w:id="118" w:name="fnref94"/>
      <w:bookmarkEnd w:id="118"/>
      <w:hyperlink w:anchor="fn94">
        <w:r>
          <w:rPr>
            <w:rFonts w:eastAsia="inter" w:cs="inter" w:ascii="inter" w:hAnsi="inter"/>
            <w:color w:val="#000"/>
            <w:sz w:val="21"/>
            <w:u w:val="single"/>
            <w:vertAlign w:val="superscript"/>
          </w:rPr>
          <w:t xml:space="preserve">[94]</w:t>
        </w:r>
      </w:hyperlink>
    </w:p>
    <w:p>
      <w:pPr>
        <w:numPr>
          <w:ilvl w:val="0"/>
          <w:numId w:val="15"/>
        </w:numPr>
        <w:spacing w:line="360" w:after="210" w:lineRule="auto"/>
      </w:pPr>
      <w:r>
        <w:rPr>
          <w:rFonts w:eastAsia="inter" w:cs="inter" w:ascii="inter" w:hAnsi="inter"/>
          <w:b/>
          <w:color w:val="000000"/>
          <w:sz w:val="21"/>
        </w:rPr>
        <w:t xml:space="preserve">Diversity and Inclusion</w:t>
      </w:r>
      <w:r>
        <w:rPr>
          <w:rFonts w:eastAsia="inter" w:cs="inter" w:ascii="inter" w:hAnsi="inter"/>
          <w:color w:val="000000"/>
          <w:sz w:val="21"/>
        </w:rPr>
        <w:br w:type="textWrapping"/>
      </w:r>
      <w:r>
        <w:rPr>
          <w:rFonts w:eastAsia="inter" w:cs="inter" w:ascii="inter" w:hAnsi="inter"/>
          <w:color w:val="000000"/>
          <w:sz w:val="21"/>
        </w:rPr>
        <w:t xml:space="preserve">Highlight efforts to include reviewers from diverse backgrounds including career stage, geography, gender, and discipline to capture broad perspectives and reduce bias.</w:t>
      </w:r>
      <w:bookmarkStart w:id="119" w:name="fnref95"/>
      <w:bookmarkEnd w:id="119"/>
      <w:hyperlink w:anchor="fn95">
        <w:r>
          <w:rPr>
            <w:rFonts w:eastAsia="inter" w:cs="inter" w:ascii="inter" w:hAnsi="inter"/>
            <w:color w:val="#000"/>
            <w:sz w:val="21"/>
            <w:u w:val="single"/>
            <w:vertAlign w:val="superscript"/>
          </w:rPr>
          <w:t xml:space="preserve">[95]</w:t>
        </w:r>
      </w:hyperlink>
      <w:bookmarkStart w:id="120" w:name="fnref93:1"/>
      <w:bookmarkEnd w:id="120"/>
      <w:hyperlink w:anchor="fn93">
        <w:r>
          <w:rPr>
            <w:rFonts w:eastAsia="inter" w:cs="inter" w:ascii="inter" w:hAnsi="inter"/>
            <w:color w:val="#000"/>
            <w:sz w:val="21"/>
            <w:u w:val="single"/>
            <w:vertAlign w:val="superscript"/>
          </w:rPr>
          <w:t xml:space="preserve">[93]</w:t>
        </w:r>
      </w:hyperlink>
    </w:p>
    <w:p>
      <w:pPr>
        <w:numPr>
          <w:ilvl w:val="0"/>
          <w:numId w:val="15"/>
        </w:numPr>
        <w:spacing w:line="360" w:after="210" w:lineRule="auto"/>
      </w:pPr>
      <w:r>
        <w:rPr>
          <w:rFonts w:eastAsia="inter" w:cs="inter" w:ascii="inter" w:hAnsi="inter"/>
          <w:b/>
          <w:color w:val="000000"/>
          <w:sz w:val="21"/>
        </w:rPr>
        <w:t xml:space="preserve">Conflict of Interest Management</w:t>
      </w:r>
      <w:r>
        <w:rPr>
          <w:rFonts w:eastAsia="inter" w:cs="inter" w:ascii="inter" w:hAnsi="inter"/>
          <w:color w:val="000000"/>
          <w:sz w:val="21"/>
        </w:rPr>
        <w:br w:type="textWrapping"/>
      </w:r>
      <w:r>
        <w:rPr>
          <w:rFonts w:eastAsia="inter" w:cs="inter" w:ascii="inter" w:hAnsi="inter"/>
          <w:color w:val="000000"/>
          <w:sz w:val="21"/>
        </w:rPr>
        <w:t xml:space="preserve">Show procedures for identifying and excluding reviewers with potential conflicts—personal, professional, or financial—to maintain impartiality.</w:t>
      </w:r>
      <w:bookmarkStart w:id="121" w:name="fnref94:1"/>
      <w:bookmarkEnd w:id="121"/>
      <w:hyperlink w:anchor="fn94">
        <w:r>
          <w:rPr>
            <w:rFonts w:eastAsia="inter" w:cs="inter" w:ascii="inter" w:hAnsi="inter"/>
            <w:color w:val="#000"/>
            <w:sz w:val="21"/>
            <w:u w:val="single"/>
            <w:vertAlign w:val="superscript"/>
          </w:rPr>
          <w:t xml:space="preserve">[94]</w:t>
        </w:r>
      </w:hyperlink>
    </w:p>
    <w:p>
      <w:pPr>
        <w:numPr>
          <w:ilvl w:val="0"/>
          <w:numId w:val="15"/>
        </w:numPr>
        <w:spacing w:line="360" w:after="210" w:lineRule="auto"/>
      </w:pPr>
      <w:r>
        <w:rPr>
          <w:rFonts w:eastAsia="inter" w:cs="inter" w:ascii="inter" w:hAnsi="inter"/>
          <w:b/>
          <w:color w:val="000000"/>
          <w:sz w:val="21"/>
        </w:rPr>
        <w:t xml:space="preserve">Balanced Reviewer Counts</w:t>
      </w:r>
      <w:r>
        <w:rPr>
          <w:rFonts w:eastAsia="inter" w:cs="inter" w:ascii="inter" w:hAnsi="inter"/>
          <w:color w:val="000000"/>
          <w:sz w:val="21"/>
        </w:rPr>
        <w:br w:type="textWrapping"/>
      </w:r>
      <w:r>
        <w:rPr>
          <w:rFonts w:eastAsia="inter" w:cs="inter" w:ascii="inter" w:hAnsi="inter"/>
          <w:color w:val="000000"/>
          <w:sz w:val="21"/>
        </w:rPr>
        <w:t xml:space="preserve">Present the standard of using at least two independent reviewers per study, with additional specialists as needed for interdisciplinary or complex proposals.</w:t>
      </w:r>
      <w:bookmarkStart w:id="122" w:name="fnref96"/>
      <w:bookmarkEnd w:id="122"/>
      <w:hyperlink w:anchor="fn96">
        <w:r>
          <w:rPr>
            <w:rFonts w:eastAsia="inter" w:cs="inter" w:ascii="inter" w:hAnsi="inter"/>
            <w:color w:val="#000"/>
            <w:sz w:val="21"/>
            <w:u w:val="single"/>
            <w:vertAlign w:val="superscript"/>
          </w:rPr>
          <w:t xml:space="preserve">[96]</w:t>
        </w:r>
      </w:hyperlink>
      <w:bookmarkStart w:id="123" w:name="fnref94:2"/>
      <w:bookmarkEnd w:id="123"/>
      <w:hyperlink w:anchor="fn94">
        <w:r>
          <w:rPr>
            <w:rFonts w:eastAsia="inter" w:cs="inter" w:ascii="inter" w:hAnsi="inter"/>
            <w:color w:val="#000"/>
            <w:sz w:val="21"/>
            <w:u w:val="single"/>
            <w:vertAlign w:val="superscript"/>
          </w:rPr>
          <w:t xml:space="preserve">[94]</w:t>
        </w:r>
      </w:hyperlink>
    </w:p>
    <w:p>
      <w:pPr>
        <w:spacing w:line="360" w:after="210" w:lineRule="auto"/>
      </w:pPr>
      <w:r>
        <w:rPr>
          <w:rFonts w:eastAsia="inter" w:cs="inter" w:ascii="inter" w:hAnsi="inter"/>
          <w:color w:val="000000"/>
        </w:rPr>
        <w:t xml:space="preserve">Donna’s take: rÆ’s proportional oversight and reviewer playbook is like a haute couture suit—tailored perfectly to fit the risk, with fully vetted experts as the tailor’s dream team, making sure every stitch is flawless, every angle covered, and no bias sneaking in the back door.</w:t>
      </w:r>
    </w:p>
    <w:p>
      <w:pPr>
        <w:spacing w:line="360" w:after="210" w:lineRule="auto"/>
      </w:pPr>
      <w:r>
        <w:rPr>
          <w:rFonts w:eastAsia="inter" w:cs="inter" w:ascii="inter" w:hAnsi="inter"/>
          <w:color w:val="000000"/>
        </w:rPr>
        <w:t xml:space="preserve">This concise framing delivers a clear signal: rigor where it matters, speed where it counts, and fairness every step of the </w:t>
      </w:r>
      <w:hyperlink r:id="rId6">
        <w:r>
          <w:rPr>
            <w:rFonts w:eastAsia="inter" w:cs="inter" w:ascii="inter" w:hAnsi="inter"/>
            <w:color w:val="#000"/>
            <w:u w:val="single"/>
          </w:rPr>
          <w:t xml:space="preserve">way.To</w:t>
        </w:r>
      </w:hyperlink>
      <w:r>
        <w:rPr>
          <w:rFonts w:eastAsia="inter" w:cs="inter" w:ascii="inter" w:hAnsi="inter"/>
          <w:color w:val="000000"/>
        </w:rPr>
        <w:t xml:space="preserve"> concisely show proportional oversight and reviewer selection for rÆ, present a tiered oversight model linking review intensity to risk level, with clear criteria for escalation, dynamic monitoring, and feedback loops. For reviewer selection, detail the process of choosing experts aligned with the study’s scientific and ethical aspects, ensuring diversity in background and career stage, managing conflicts of interest, and maintaining a minimum of two independent reviewers per study.</w:t>
      </w:r>
      <w:bookmarkStart w:id="124" w:name="fnref93:2"/>
      <w:bookmarkEnd w:id="124"/>
      <w:hyperlink w:anchor="fn93">
        <w:r>
          <w:rPr>
            <w:rFonts w:eastAsia="inter" w:cs="inter" w:ascii="inter" w:hAnsi="inter"/>
            <w:color w:val="#000"/>
            <w:u w:val="single"/>
            <w:vertAlign w:val="superscript"/>
          </w:rPr>
          <w:t xml:space="preserve">[93]</w:t>
        </w:r>
      </w:hyperlink>
      <w:bookmarkStart w:id="125" w:name="fnref94:3"/>
      <w:bookmarkEnd w:id="125"/>
      <w:hyperlink w:anchor="fn94">
        <w:r>
          <w:rPr>
            <w:rFonts w:eastAsia="inter" w:cs="inter" w:ascii="inter" w:hAnsi="inter"/>
            <w:color w:val="#000"/>
            <w:u w:val="single"/>
            <w:vertAlign w:val="superscript"/>
          </w:rPr>
          <w:t xml:space="preserve">[94]</w:t>
        </w:r>
      </w:hyperlink>
      <w:bookmarkStart w:id="126" w:name="fnref95:1"/>
      <w:bookmarkEnd w:id="126"/>
      <w:hyperlink w:anchor="fn95">
        <w:r>
          <w:rPr>
            <w:rFonts w:eastAsia="inter" w:cs="inter" w:ascii="inter" w:hAnsi="inter"/>
            <w:color w:val="#000"/>
            <w:u w:val="single"/>
            <w:vertAlign w:val="superscript"/>
          </w:rPr>
          <w:t xml:space="preserve">[95]</w:t>
        </w:r>
      </w:hyperlink>
      <w:bookmarkStart w:id="127" w:name="fnref96:1"/>
      <w:bookmarkEnd w:id="127"/>
      <w:hyperlink w:anchor="fn96">
        <w:r>
          <w:rPr>
            <w:rFonts w:eastAsia="inter" w:cs="inter" w:ascii="inter" w:hAnsi="inter"/>
            <w:color w:val="#000"/>
            <w:u w:val="single"/>
            <w:vertAlign w:val="superscript"/>
          </w:rPr>
          <w:t xml:space="preserve">[96]</w:t>
        </w:r>
      </w:hyperlink>
    </w:p>
    <w:p>
      <w:pPr>
        <w:spacing w:line="360" w:after="210" w:lineRule="auto"/>
      </w:pPr>
      <w:r>
        <w:rPr>
          <w:rFonts w:eastAsia="inter" w:cs="inter" w:ascii="inter" w:hAnsi="inter"/>
          <w:color w:val="000000"/>
        </w:rPr>
        <w:t xml:space="preserve">This approach demonstrates rigorous, tailored governance with fairness and expertise balanced for the complexity and risk of each project, assuring both regulatory compliance and scientific integrity.</w:t>
      </w:r>
      <w:bookmarkStart w:id="128" w:name="fnref91:1"/>
      <w:bookmarkEnd w:id="128"/>
      <w:hyperlink w:anchor="fn91">
        <w:r>
          <w:rPr>
            <w:rFonts w:eastAsia="inter" w:cs="inter" w:ascii="inter" w:hAnsi="inter"/>
            <w:color w:val="#000"/>
            <w:u w:val="single"/>
            <w:vertAlign w:val="superscript"/>
          </w:rPr>
          <w:t xml:space="preserve">[91]</w:t>
        </w:r>
      </w:hyperlink>
      <w:bookmarkStart w:id="129" w:name="fnref94:4"/>
      <w:bookmarkEnd w:id="129"/>
      <w:hyperlink w:anchor="fn94">
        <w:r>
          <w:rPr>
            <w:rFonts w:eastAsia="inter" w:cs="inter" w:ascii="inter" w:hAnsi="inter"/>
            <w:color w:val="#000"/>
            <w:u w:val="single"/>
            <w:vertAlign w:val="superscript"/>
          </w:rPr>
          <w:t xml:space="preserve">[94]</w:t>
        </w:r>
      </w:hyperlink>
      <w:bookmarkStart w:id="130" w:name="fnref95:2"/>
      <w:bookmarkEnd w:id="130"/>
      <w:hyperlink w:anchor="fn95">
        <w:r>
          <w:rPr>
            <w:rFonts w:eastAsia="inter" w:cs="inter" w:ascii="inter" w:hAnsi="inter"/>
            <w:color w:val="#000"/>
            <w:u w:val="single"/>
            <w:vertAlign w:val="superscript"/>
          </w:rPr>
          <w:t xml:space="preserve">[95]</w:t>
        </w:r>
      </w:hyperlink>
      <w:bookmarkStart w:id="131" w:name="fnref96:2"/>
      <w:bookmarkEnd w:id="131"/>
      <w:hyperlink w:anchor="fn96">
        <w:r>
          <w:rPr>
            <w:rFonts w:eastAsia="inter" w:cs="inter" w:ascii="inter" w:hAnsi="inter"/>
            <w:color w:val="#000"/>
            <w:u w:val="single"/>
            <w:vertAlign w:val="superscript"/>
          </w:rPr>
          <w:t xml:space="preserve">[96]</w:t>
        </w:r>
      </w:hyperlink>
      <w:bookmarkStart w:id="132" w:name="fnref90:1"/>
      <w:bookmarkEnd w:id="132"/>
      <w:hyperlink w:anchor="fn90">
        <w:r>
          <w:rPr>
            <w:rFonts w:eastAsia="inter" w:cs="inter" w:ascii="inter" w:hAnsi="inter"/>
            <w:color w:val="#000"/>
            <w:u w:val="single"/>
            <w:vertAlign w:val="superscript"/>
          </w:rPr>
          <w:t xml:space="preserve">[90]</w:t>
        </w:r>
      </w:hyperlink>
      <w:bookmarkStart w:id="133" w:name="fnref93:3"/>
      <w:bookmarkEnd w:id="133"/>
      <w:hyperlink w:anchor="fn93">
        <w:r>
          <w:rPr>
            <w:rFonts w:eastAsia="inter" w:cs="inter" w:ascii="inter" w:hAnsi="inter"/>
            <w:color w:val="#000"/>
            <w:u w:val="single"/>
            <w:vertAlign w:val="superscript"/>
          </w:rPr>
          <w:t xml:space="preserve">[93]</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Which specific risk mitigations should I document for delegated minimal‑risk rÆ reviews</w:t>
      </w:r>
    </w:p>
    <w:p>
      <w:pPr>
        <w:spacing w:line="360" w:after="210" w:lineRule="auto"/>
      </w:pPr>
      <w:r>
        <w:rPr>
          <w:rFonts w:eastAsia="inter" w:cs="inter" w:ascii="inter" w:hAnsi="inter"/>
          <w:color w:val="000000"/>
        </w:rPr>
        <w:t xml:space="preserve">For delegated minimal-risk reviews in rÆ, specific risk mitigations should be documented that clearly demonstrate how risks are minimized, controlled, and continuously monitored to qualify for streamlined ethics oversight.</w:t>
      </w:r>
    </w:p>
    <w:p>
      <w:pPr>
        <w:spacing w:line="360" w:before="315" w:after="105" w:lineRule="auto"/>
        <w:ind w:left="-30"/>
        <w:jc w:val="left"/>
      </w:pPr>
      <w:r>
        <w:rPr>
          <w:rFonts w:eastAsia="inter" w:cs="inter" w:ascii="inter" w:hAnsi="inter"/>
          <w:b/>
          <w:color w:val="000000"/>
          <w:sz w:val="24"/>
        </w:rPr>
        <w:t xml:space="preserve">Key Risk Mitigations to Document</w:t>
      </w:r>
    </w:p>
    <w:p>
      <w:pPr>
        <w:numPr>
          <w:ilvl w:val="0"/>
          <w:numId w:val="16"/>
        </w:numPr>
        <w:spacing w:line="360" w:after="210" w:lineRule="auto"/>
      </w:pPr>
      <w:r>
        <w:rPr>
          <w:rFonts w:eastAsia="inter" w:cs="inter" w:ascii="inter" w:hAnsi="inter"/>
          <w:b/>
          <w:color w:val="000000"/>
          <w:sz w:val="21"/>
        </w:rPr>
        <w:t xml:space="preserve">Identification and Prioritization of Risks</w:t>
      </w:r>
      <w:r>
        <w:rPr>
          <w:rFonts w:eastAsia="inter" w:cs="inter" w:ascii="inter" w:hAnsi="inter"/>
          <w:color w:val="000000"/>
          <w:sz w:val="21"/>
        </w:rPr>
        <w:br w:type="textWrapping"/>
      </w:r>
      <w:r>
        <w:rPr>
          <w:rFonts w:eastAsia="inter" w:cs="inter" w:ascii="inter" w:hAnsi="inter"/>
          <w:color w:val="000000"/>
          <w:sz w:val="21"/>
        </w:rPr>
        <w:t xml:space="preserve">Clearly describe potential risks related to physical, psychological, social, economic, legal, or informational harms, prioritizing them by probability and impact to focus mitigation efforts effectively.</w:t>
      </w:r>
      <w:bookmarkStart w:id="134" w:name="fnref103"/>
      <w:bookmarkEnd w:id="134"/>
      <w:hyperlink w:anchor="fn103">
        <w:r>
          <w:rPr>
            <w:rFonts w:eastAsia="inter" w:cs="inter" w:ascii="inter" w:hAnsi="inter"/>
            <w:color w:val="#000"/>
            <w:sz w:val="21"/>
            <w:u w:val="single"/>
            <w:vertAlign w:val="superscript"/>
          </w:rPr>
          <w:t xml:space="preserve">[103]</w:t>
        </w:r>
      </w:hyperlink>
      <w:bookmarkStart w:id="135" w:name="fnref104"/>
      <w:bookmarkEnd w:id="135"/>
      <w:hyperlink w:anchor="fn104">
        <w:r>
          <w:rPr>
            <w:rFonts w:eastAsia="inter" w:cs="inter" w:ascii="inter" w:hAnsi="inter"/>
            <w:color w:val="#000"/>
            <w:sz w:val="21"/>
            <w:u w:val="single"/>
            <w:vertAlign w:val="superscript"/>
          </w:rPr>
          <w:t xml:space="preserve">[104]</w:t>
        </w:r>
      </w:hyperlink>
    </w:p>
    <w:p>
      <w:pPr>
        <w:numPr>
          <w:ilvl w:val="0"/>
          <w:numId w:val="16"/>
        </w:numPr>
        <w:spacing w:line="360" w:after="210" w:lineRule="auto"/>
      </w:pPr>
      <w:r>
        <w:rPr>
          <w:rFonts w:eastAsia="inter" w:cs="inter" w:ascii="inter" w:hAnsi="inter"/>
          <w:b/>
          <w:color w:val="000000"/>
          <w:sz w:val="21"/>
        </w:rPr>
        <w:t xml:space="preserve">Risk Reduction Measures</w:t>
      </w:r>
      <w:r>
        <w:rPr>
          <w:rFonts w:eastAsia="inter" w:cs="inter" w:ascii="inter" w:hAnsi="inter"/>
          <w:color w:val="000000"/>
          <w:sz w:val="21"/>
        </w:rPr>
        <w:br w:type="textWrapping"/>
      </w:r>
      <w:r>
        <w:rPr>
          <w:rFonts w:eastAsia="inter" w:cs="inter" w:ascii="inter" w:hAnsi="inter"/>
          <w:color w:val="000000"/>
          <w:sz w:val="21"/>
        </w:rPr>
        <w:t xml:space="preserve">Outline precise steps taken to limit risks, such as using anonymization and data encryption for privacy, simplifying procedures to minimize participant burden, and employing standard safety protocols aligned with good research practice.</w:t>
      </w:r>
      <w:bookmarkStart w:id="136" w:name="fnref105"/>
      <w:bookmarkEnd w:id="136"/>
      <w:hyperlink w:anchor="fn105">
        <w:r>
          <w:rPr>
            <w:rFonts w:eastAsia="inter" w:cs="inter" w:ascii="inter" w:hAnsi="inter"/>
            <w:color w:val="#000"/>
            <w:sz w:val="21"/>
            <w:u w:val="single"/>
            <w:vertAlign w:val="superscript"/>
          </w:rPr>
          <w:t xml:space="preserve">[105]</w:t>
        </w:r>
      </w:hyperlink>
      <w:bookmarkStart w:id="137" w:name="fnref103:1"/>
      <w:bookmarkEnd w:id="137"/>
      <w:hyperlink w:anchor="fn103">
        <w:r>
          <w:rPr>
            <w:rFonts w:eastAsia="inter" w:cs="inter" w:ascii="inter" w:hAnsi="inter"/>
            <w:color w:val="#000"/>
            <w:sz w:val="21"/>
            <w:u w:val="single"/>
            <w:vertAlign w:val="superscript"/>
          </w:rPr>
          <w:t xml:space="preserve">[103]</w:t>
        </w:r>
      </w:hyperlink>
    </w:p>
    <w:p>
      <w:pPr>
        <w:numPr>
          <w:ilvl w:val="0"/>
          <w:numId w:val="16"/>
        </w:numPr>
        <w:spacing w:line="360" w:after="210" w:lineRule="auto"/>
      </w:pPr>
      <w:r>
        <w:rPr>
          <w:rFonts w:eastAsia="inter" w:cs="inter" w:ascii="inter" w:hAnsi="inter"/>
          <w:b/>
          <w:color w:val="000000"/>
          <w:sz w:val="21"/>
        </w:rPr>
        <w:t xml:space="preserve">Risk Avoidance and Minimization</w:t>
      </w:r>
      <w:r>
        <w:rPr>
          <w:rFonts w:eastAsia="inter" w:cs="inter" w:ascii="inter" w:hAnsi="inter"/>
          <w:color w:val="000000"/>
          <w:sz w:val="21"/>
        </w:rPr>
        <w:br w:type="textWrapping"/>
      </w:r>
      <w:r>
        <w:rPr>
          <w:rFonts w:eastAsia="inter" w:cs="inter" w:ascii="inter" w:hAnsi="inter"/>
          <w:color w:val="000000"/>
          <w:sz w:val="21"/>
        </w:rPr>
        <w:t xml:space="preserve">Describe any modifications made to study design or procedures that avoid unnecessary risk exposures or reduce complexity (e.g., eliminating invasive procedures or sensitive questions).</w:t>
      </w:r>
      <w:bookmarkStart w:id="138" w:name="fnref106"/>
      <w:bookmarkEnd w:id="138"/>
      <w:hyperlink w:anchor="fn106">
        <w:r>
          <w:rPr>
            <w:rFonts w:eastAsia="inter" w:cs="inter" w:ascii="inter" w:hAnsi="inter"/>
            <w:color w:val="#000"/>
            <w:sz w:val="21"/>
            <w:u w:val="single"/>
            <w:vertAlign w:val="superscript"/>
          </w:rPr>
          <w:t xml:space="preserve">[106]</w:t>
        </w:r>
      </w:hyperlink>
      <w:bookmarkStart w:id="139" w:name="fnref103:2"/>
      <w:bookmarkEnd w:id="139"/>
      <w:hyperlink w:anchor="fn103">
        <w:r>
          <w:rPr>
            <w:rFonts w:eastAsia="inter" w:cs="inter" w:ascii="inter" w:hAnsi="inter"/>
            <w:color w:val="#000"/>
            <w:sz w:val="21"/>
            <w:u w:val="single"/>
            <w:vertAlign w:val="superscript"/>
          </w:rPr>
          <w:t xml:space="preserve">[103]</w:t>
        </w:r>
      </w:hyperlink>
    </w:p>
    <w:p>
      <w:pPr>
        <w:numPr>
          <w:ilvl w:val="0"/>
          <w:numId w:val="16"/>
        </w:numPr>
        <w:spacing w:line="360" w:after="210" w:lineRule="auto"/>
      </w:pPr>
      <w:r>
        <w:rPr>
          <w:rFonts w:eastAsia="inter" w:cs="inter" w:ascii="inter" w:hAnsi="inter"/>
          <w:b/>
          <w:color w:val="000000"/>
          <w:sz w:val="21"/>
        </w:rPr>
        <w:t xml:space="preserve">Informed Consent and Transparency</w:t>
      </w:r>
      <w:r>
        <w:rPr>
          <w:rFonts w:eastAsia="inter" w:cs="inter" w:ascii="inter" w:hAnsi="inter"/>
          <w:color w:val="000000"/>
          <w:sz w:val="21"/>
        </w:rPr>
        <w:br w:type="textWrapping"/>
      </w:r>
      <w:r>
        <w:rPr>
          <w:rFonts w:eastAsia="inter" w:cs="inter" w:ascii="inter" w:hAnsi="inter"/>
          <w:color w:val="000000"/>
          <w:sz w:val="21"/>
        </w:rPr>
        <w:t xml:space="preserve">Ensure consent processes clearly inform participants about minimal risks and efforts to mitigate them, promoting voluntary and informed participation.</w:t>
      </w:r>
      <w:bookmarkStart w:id="140" w:name="fnref104:1"/>
      <w:bookmarkEnd w:id="140"/>
      <w:hyperlink w:anchor="fn104">
        <w:r>
          <w:rPr>
            <w:rFonts w:eastAsia="inter" w:cs="inter" w:ascii="inter" w:hAnsi="inter"/>
            <w:color w:val="#000"/>
            <w:sz w:val="21"/>
            <w:u w:val="single"/>
            <w:vertAlign w:val="superscript"/>
          </w:rPr>
          <w:t xml:space="preserve">[104]</w:t>
        </w:r>
      </w:hyperlink>
      <w:bookmarkStart w:id="141" w:name="fnref107"/>
      <w:bookmarkEnd w:id="141"/>
      <w:hyperlink w:anchor="fn107">
        <w:r>
          <w:rPr>
            <w:rFonts w:eastAsia="inter" w:cs="inter" w:ascii="inter" w:hAnsi="inter"/>
            <w:color w:val="#000"/>
            <w:sz w:val="21"/>
            <w:u w:val="single"/>
            <w:vertAlign w:val="superscript"/>
          </w:rPr>
          <w:t xml:space="preserve">[107]</w:t>
        </w:r>
      </w:hyperlink>
    </w:p>
    <w:p>
      <w:pPr>
        <w:numPr>
          <w:ilvl w:val="0"/>
          <w:numId w:val="16"/>
        </w:numPr>
        <w:spacing w:line="360" w:after="210" w:lineRule="auto"/>
      </w:pPr>
      <w:r>
        <w:rPr>
          <w:rFonts w:eastAsia="inter" w:cs="inter" w:ascii="inter" w:hAnsi="inter"/>
          <w:b/>
          <w:color w:val="000000"/>
          <w:sz w:val="21"/>
        </w:rPr>
        <w:t xml:space="preserve">Ongoing Monitoring and Adaptation</w:t>
      </w:r>
      <w:r>
        <w:rPr>
          <w:rFonts w:eastAsia="inter" w:cs="inter" w:ascii="inter" w:hAnsi="inter"/>
          <w:color w:val="000000"/>
          <w:sz w:val="21"/>
        </w:rPr>
        <w:br w:type="textWrapping"/>
      </w:r>
      <w:r>
        <w:rPr>
          <w:rFonts w:eastAsia="inter" w:cs="inter" w:ascii="inter" w:hAnsi="inter"/>
          <w:color w:val="000000"/>
          <w:sz w:val="21"/>
        </w:rPr>
        <w:t xml:space="preserve">Document plans for continuous oversight of emerging risks, adverse event tracking, and protocol adjustments during study execution to maintain minimal risk status.</w:t>
      </w:r>
      <w:bookmarkStart w:id="142" w:name="fnref108"/>
      <w:bookmarkEnd w:id="142"/>
      <w:hyperlink w:anchor="fn108">
        <w:r>
          <w:rPr>
            <w:rFonts w:eastAsia="inter" w:cs="inter" w:ascii="inter" w:hAnsi="inter"/>
            <w:color w:val="#000"/>
            <w:sz w:val="21"/>
            <w:u w:val="single"/>
            <w:vertAlign w:val="superscript"/>
          </w:rPr>
          <w:t xml:space="preserve">[108]</w:t>
        </w:r>
      </w:hyperlink>
      <w:bookmarkStart w:id="143" w:name="fnref103:3"/>
      <w:bookmarkEnd w:id="143"/>
      <w:hyperlink w:anchor="fn103">
        <w:r>
          <w:rPr>
            <w:rFonts w:eastAsia="inter" w:cs="inter" w:ascii="inter" w:hAnsi="inter"/>
            <w:color w:val="#000"/>
            <w:sz w:val="21"/>
            <w:u w:val="single"/>
            <w:vertAlign w:val="superscript"/>
          </w:rPr>
          <w:t xml:space="preserve">[103]</w:t>
        </w:r>
      </w:hyperlink>
    </w:p>
    <w:p>
      <w:pPr>
        <w:numPr>
          <w:ilvl w:val="0"/>
          <w:numId w:val="16"/>
        </w:numPr>
        <w:spacing w:line="360" w:after="210" w:lineRule="auto"/>
      </w:pPr>
      <w:r>
        <w:rPr>
          <w:rFonts w:eastAsia="inter" w:cs="inter" w:ascii="inter" w:hAnsi="inter"/>
          <w:b/>
          <w:color w:val="000000"/>
          <w:sz w:val="21"/>
        </w:rPr>
        <w:t xml:space="preserve">Compliance with Minimal Risk Standards</w:t>
      </w:r>
      <w:r>
        <w:rPr>
          <w:rFonts w:eastAsia="inter" w:cs="inter" w:ascii="inter" w:hAnsi="inter"/>
          <w:color w:val="000000"/>
          <w:sz w:val="21"/>
        </w:rPr>
        <w:br w:type="textWrapping"/>
      </w:r>
      <w:r>
        <w:rPr>
          <w:rFonts w:eastAsia="inter" w:cs="inter" w:ascii="inter" w:hAnsi="inter"/>
          <w:color w:val="000000"/>
          <w:sz w:val="21"/>
        </w:rPr>
        <w:t xml:space="preserve">Relate the mitigations to regulatory definitions of minimal risk, showing alignment with accepted frameworks supporting eligibility for delegated review.</w:t>
      </w:r>
      <w:bookmarkStart w:id="144" w:name="fnref109"/>
      <w:bookmarkEnd w:id="144"/>
      <w:hyperlink w:anchor="fn109">
        <w:r>
          <w:rPr>
            <w:rFonts w:eastAsia="inter" w:cs="inter" w:ascii="inter" w:hAnsi="inter"/>
            <w:color w:val="#000"/>
            <w:sz w:val="21"/>
            <w:u w:val="single"/>
            <w:vertAlign w:val="superscript"/>
          </w:rPr>
          <w:t xml:space="preserve">[109]</w:t>
        </w:r>
      </w:hyperlink>
      <w:bookmarkStart w:id="145" w:name="fnref110"/>
      <w:bookmarkEnd w:id="145"/>
      <w:hyperlink w:anchor="fn110">
        <w:r>
          <w:rPr>
            <w:rFonts w:eastAsia="inter" w:cs="inter" w:ascii="inter" w:hAnsi="inter"/>
            <w:color w:val="#000"/>
            <w:sz w:val="21"/>
            <w:u w:val="single"/>
            <w:vertAlign w:val="superscript"/>
          </w:rPr>
          <w:t xml:space="preserve">[110]</w:t>
        </w:r>
      </w:hyperlink>
      <w:bookmarkStart w:id="146" w:name="fnref104:2"/>
      <w:bookmarkEnd w:id="146"/>
      <w:hyperlink w:anchor="fn104">
        <w:r>
          <w:rPr>
            <w:rFonts w:eastAsia="inter" w:cs="inter" w:ascii="inter" w:hAnsi="inter"/>
            <w:color w:val="#000"/>
            <w:sz w:val="21"/>
            <w:u w:val="single"/>
            <w:vertAlign w:val="superscript"/>
          </w:rPr>
          <w:t xml:space="preserve">[104]</w:t>
        </w:r>
      </w:hyperlink>
    </w:p>
    <w:p>
      <w:pPr>
        <w:spacing w:line="360" w:after="210" w:lineRule="auto"/>
      </w:pPr>
      <w:r>
        <w:rPr>
          <w:rFonts w:eastAsia="inter" w:cs="inter" w:ascii="inter" w:hAnsi="inter"/>
          <w:color w:val="000000"/>
        </w:rPr>
        <w:t xml:space="preserve">Donna would say: rÆ’s got the paperwork locked down with laser focus on cutting risk to the bone and keeping it under tight watch—showing the REB a smooth operation where minimal risk isn’t just a claim, it’s a meticulously managed reality.</w:t>
      </w:r>
    </w:p>
    <w:p>
      <w:pPr>
        <w:spacing w:line="360" w:after="210" w:lineRule="auto"/>
      </w:pPr>
      <w:r>
        <w:rPr>
          <w:rFonts w:eastAsia="inter" w:cs="inter" w:ascii="inter" w:hAnsi="inter"/>
          <w:color w:val="000000"/>
        </w:rPr>
        <w:t xml:space="preserve">Documenting these mitigations concisely yet comprehensively ensures delegated minimal-risk reviews glide through with confidence and clarity.</w:t>
      </w:r>
      <w:bookmarkStart w:id="147" w:name="fnref103:4"/>
      <w:bookmarkEnd w:id="147"/>
      <w:hyperlink w:anchor="fn103">
        <w:r>
          <w:rPr>
            <w:rFonts w:eastAsia="inter" w:cs="inter" w:ascii="inter" w:hAnsi="inter"/>
            <w:color w:val="#000"/>
            <w:u w:val="single"/>
            <w:vertAlign w:val="superscript"/>
          </w:rPr>
          <w:t xml:space="preserve">[103]</w:t>
        </w:r>
      </w:hyperlink>
      <w:bookmarkStart w:id="148" w:name="fnref104:3"/>
      <w:bookmarkEnd w:id="148"/>
      <w:hyperlink w:anchor="fn104">
        <w:r>
          <w:rPr>
            <w:rFonts w:eastAsia="inter" w:cs="inter" w:ascii="inter" w:hAnsi="inter"/>
            <w:color w:val="#000"/>
            <w:u w:val="single"/>
            <w:vertAlign w:val="superscript"/>
          </w:rPr>
          <w:t xml:space="preserve">[104]</w:t>
        </w:r>
      </w:hyperlink>
      <w:bookmarkStart w:id="149" w:name="fnref105:1"/>
      <w:bookmarkEnd w:id="149"/>
      <w:hyperlink w:anchor="fn105">
        <w:r>
          <w:rPr>
            <w:rFonts w:eastAsia="inter" w:cs="inter" w:ascii="inter" w:hAnsi="inter"/>
            <w:color w:val="#000"/>
            <w:u w:val="single"/>
            <w:vertAlign w:val="superscript"/>
          </w:rPr>
          <w:t xml:space="preserve">[105]</w:t>
        </w:r>
      </w:hyperlink>
      <w:bookmarkStart w:id="150" w:name="fnref108:1"/>
      <w:bookmarkEnd w:id="150"/>
      <w:hyperlink w:anchor="fn108">
        <w:r>
          <w:rPr>
            <w:rFonts w:eastAsia="inter" w:cs="inter" w:ascii="inter" w:hAnsi="inter"/>
            <w:color w:val="#000"/>
            <w:u w:val="single"/>
            <w:vertAlign w:val="superscript"/>
          </w:rPr>
          <w:t xml:space="preserve">[108]</w:t>
        </w:r>
      </w:hyperlink>
      <w:bookmarkStart w:id="151" w:name="fnref109:1"/>
      <w:bookmarkEnd w:id="151"/>
      <w:hyperlink w:anchor="fn109">
        <w:r>
          <w:rPr>
            <w:rFonts w:eastAsia="inter" w:cs="inter" w:ascii="inter" w:hAnsi="inter"/>
            <w:color w:val="#000"/>
            <w:u w:val="single"/>
            <w:vertAlign w:val="superscript"/>
          </w:rPr>
          <w:t xml:space="preserve">[109]</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reviewer qualifications and evidence should I list for delegated rÆ approval</w:t>
      </w:r>
    </w:p>
    <w:p>
      <w:pPr>
        <w:spacing w:line="360" w:after="210" w:lineRule="auto"/>
      </w:pPr>
      <w:r>
        <w:rPr>
          <w:rFonts w:eastAsia="inter" w:cs="inter" w:ascii="inter" w:hAnsi="inter"/>
          <w:color w:val="000000"/>
        </w:rPr>
        <w:t xml:space="preserve">For delegated rÆ approval, you should list reviewer qualifications and provide evidence that demonstrates their capacity to conduct ethical and rigorous review under minimal-risk conditions.</w:t>
      </w:r>
    </w:p>
    <w:p>
      <w:pPr>
        <w:spacing w:line="360" w:before="315" w:after="105" w:lineRule="auto"/>
        <w:ind w:left="-30"/>
        <w:jc w:val="left"/>
      </w:pPr>
      <w:r>
        <w:rPr>
          <w:rFonts w:eastAsia="inter" w:cs="inter" w:ascii="inter" w:hAnsi="inter"/>
          <w:b/>
          <w:color w:val="000000"/>
          <w:sz w:val="24"/>
        </w:rPr>
        <w:t xml:space="preserve">Reviewer Qualifications to List</w:t>
      </w:r>
    </w:p>
    <w:p>
      <w:pPr>
        <w:numPr>
          <w:ilvl w:val="0"/>
          <w:numId w:val="17"/>
        </w:numPr>
        <w:spacing w:line="360" w:after="210" w:lineRule="auto"/>
      </w:pPr>
      <w:r>
        <w:rPr>
          <w:rFonts w:eastAsia="inter" w:cs="inter" w:ascii="inter" w:hAnsi="inter"/>
          <w:b/>
          <w:color w:val="000000"/>
          <w:sz w:val="21"/>
        </w:rPr>
        <w:t xml:space="preserve">Relevant Education and Training</w:t>
      </w:r>
      <w:r>
        <w:rPr>
          <w:rFonts w:eastAsia="inter" w:cs="inter" w:ascii="inter" w:hAnsi="inter"/>
          <w:color w:val="000000"/>
          <w:sz w:val="21"/>
        </w:rPr>
        <w:br w:type="textWrapping"/>
      </w:r>
      <w:r>
        <w:rPr>
          <w:rFonts w:eastAsia="inter" w:cs="inter" w:ascii="inter" w:hAnsi="inter"/>
          <w:color w:val="000000"/>
          <w:sz w:val="21"/>
        </w:rPr>
        <w:t xml:space="preserve">Reviewers must have appropriate education and formal training in research ethics, human subjects protection, and the scientific disciplines relevant to the study.</w:t>
      </w:r>
      <w:bookmarkStart w:id="152" w:name="fnref113"/>
      <w:bookmarkEnd w:id="152"/>
      <w:hyperlink w:anchor="fn113">
        <w:r>
          <w:rPr>
            <w:rFonts w:eastAsia="inter" w:cs="inter" w:ascii="inter" w:hAnsi="inter"/>
            <w:color w:val="#000"/>
            <w:sz w:val="21"/>
            <w:u w:val="single"/>
            <w:vertAlign w:val="superscript"/>
          </w:rPr>
          <w:t xml:space="preserve">[113]</w:t>
        </w:r>
      </w:hyperlink>
      <w:bookmarkStart w:id="153" w:name="fnref114"/>
      <w:bookmarkEnd w:id="153"/>
      <w:hyperlink w:anchor="fn114">
        <w:r>
          <w:rPr>
            <w:rFonts w:eastAsia="inter" w:cs="inter" w:ascii="inter" w:hAnsi="inter"/>
            <w:color w:val="#000"/>
            <w:sz w:val="21"/>
            <w:u w:val="single"/>
            <w:vertAlign w:val="superscript"/>
          </w:rPr>
          <w:t xml:space="preserve">[114]</w:t>
        </w:r>
      </w:hyperlink>
    </w:p>
    <w:p>
      <w:pPr>
        <w:numPr>
          <w:ilvl w:val="0"/>
          <w:numId w:val="17"/>
        </w:numPr>
        <w:spacing w:line="360" w:after="210" w:lineRule="auto"/>
      </w:pPr>
      <w:r>
        <w:rPr>
          <w:rFonts w:eastAsia="inter" w:cs="inter" w:ascii="inter" w:hAnsi="inter"/>
          <w:b/>
          <w:color w:val="000000"/>
          <w:sz w:val="21"/>
        </w:rPr>
        <w:t xml:space="preserve">Experience with Ethics Review</w:t>
      </w:r>
      <w:r>
        <w:rPr>
          <w:rFonts w:eastAsia="inter" w:cs="inter" w:ascii="inter" w:hAnsi="inter"/>
          <w:color w:val="000000"/>
          <w:sz w:val="21"/>
        </w:rPr>
        <w:br w:type="textWrapping"/>
      </w:r>
      <w:r>
        <w:rPr>
          <w:rFonts w:eastAsia="inter" w:cs="inter" w:ascii="inter" w:hAnsi="inter"/>
          <w:color w:val="000000"/>
          <w:sz w:val="21"/>
        </w:rPr>
        <w:t xml:space="preserve">Demonstrate experience in reviewing similar minimal-risk research protocols or participation in ethics committees or similar governance bodies.</w:t>
      </w:r>
      <w:bookmarkStart w:id="154" w:name="fnref113:1"/>
      <w:bookmarkEnd w:id="154"/>
      <w:hyperlink w:anchor="fn113">
        <w:r>
          <w:rPr>
            <w:rFonts w:eastAsia="inter" w:cs="inter" w:ascii="inter" w:hAnsi="inter"/>
            <w:color w:val="#000"/>
            <w:sz w:val="21"/>
            <w:u w:val="single"/>
            <w:vertAlign w:val="superscript"/>
          </w:rPr>
          <w:t xml:space="preserve">[113]</w:t>
        </w:r>
      </w:hyperlink>
    </w:p>
    <w:p>
      <w:pPr>
        <w:numPr>
          <w:ilvl w:val="0"/>
          <w:numId w:val="17"/>
        </w:numPr>
        <w:spacing w:line="360" w:after="210" w:lineRule="auto"/>
      </w:pPr>
      <w:r>
        <w:rPr>
          <w:rFonts w:eastAsia="inter" w:cs="inter" w:ascii="inter" w:hAnsi="inter"/>
          <w:b/>
          <w:color w:val="000000"/>
          <w:sz w:val="21"/>
        </w:rPr>
        <w:t xml:space="preserve">Understanding of Regulatory Requirements</w:t>
      </w:r>
      <w:r>
        <w:rPr>
          <w:rFonts w:eastAsia="inter" w:cs="inter" w:ascii="inter" w:hAnsi="inter"/>
          <w:color w:val="000000"/>
          <w:sz w:val="21"/>
        </w:rPr>
        <w:br w:type="textWrapping"/>
      </w:r>
      <w:r>
        <w:rPr>
          <w:rFonts w:eastAsia="inter" w:cs="inter" w:ascii="inter" w:hAnsi="inter"/>
          <w:color w:val="000000"/>
          <w:sz w:val="21"/>
        </w:rPr>
        <w:t xml:space="preserve">Knowledge of institutional, national, and international ethical guidelines and regulations governing minimal-risk research.</w:t>
      </w:r>
      <w:bookmarkStart w:id="155" w:name="fnref113:2"/>
      <w:bookmarkEnd w:id="155"/>
      <w:hyperlink w:anchor="fn113">
        <w:r>
          <w:rPr>
            <w:rFonts w:eastAsia="inter" w:cs="inter" w:ascii="inter" w:hAnsi="inter"/>
            <w:color w:val="#000"/>
            <w:sz w:val="21"/>
            <w:u w:val="single"/>
            <w:vertAlign w:val="superscript"/>
          </w:rPr>
          <w:t xml:space="preserve">[113]</w:t>
        </w:r>
      </w:hyperlink>
    </w:p>
    <w:p>
      <w:pPr>
        <w:numPr>
          <w:ilvl w:val="0"/>
          <w:numId w:val="17"/>
        </w:numPr>
        <w:spacing w:line="360" w:after="210" w:lineRule="auto"/>
      </w:pPr>
      <w:r>
        <w:rPr>
          <w:rFonts w:eastAsia="inter" w:cs="inter" w:ascii="inter" w:hAnsi="inter"/>
          <w:b/>
          <w:color w:val="000000"/>
          <w:sz w:val="21"/>
        </w:rPr>
        <w:t xml:space="preserve">Independence and Objectivity</w:t>
      </w:r>
      <w:r>
        <w:rPr>
          <w:rFonts w:eastAsia="inter" w:cs="inter" w:ascii="inter" w:hAnsi="inter"/>
          <w:color w:val="000000"/>
          <w:sz w:val="21"/>
        </w:rPr>
        <w:br w:type="textWrapping"/>
      </w:r>
      <w:r>
        <w:rPr>
          <w:rFonts w:eastAsia="inter" w:cs="inter" w:ascii="inter" w:hAnsi="inter"/>
          <w:color w:val="000000"/>
          <w:sz w:val="21"/>
        </w:rPr>
        <w:t xml:space="preserve">Reviewers should have no conflicts of interest related to the study to ensure impartiality in decision-making.</w:t>
      </w:r>
      <w:bookmarkStart w:id="156" w:name="fnref113:3"/>
      <w:bookmarkEnd w:id="156"/>
      <w:hyperlink w:anchor="fn113">
        <w:r>
          <w:rPr>
            <w:rFonts w:eastAsia="inter" w:cs="inter" w:ascii="inter" w:hAnsi="inter"/>
            <w:color w:val="#000"/>
            <w:sz w:val="21"/>
            <w:u w:val="single"/>
            <w:vertAlign w:val="superscript"/>
          </w:rPr>
          <w:t xml:space="preserve">[113]</w:t>
        </w:r>
      </w:hyperlink>
    </w:p>
    <w:p>
      <w:pPr>
        <w:spacing w:line="360" w:before="315" w:after="105" w:lineRule="auto"/>
        <w:ind w:left="-30"/>
        <w:jc w:val="left"/>
      </w:pPr>
      <w:r>
        <w:rPr>
          <w:rFonts w:eastAsia="inter" w:cs="inter" w:ascii="inter" w:hAnsi="inter"/>
          <w:b/>
          <w:color w:val="000000"/>
          <w:sz w:val="24"/>
        </w:rPr>
        <w:t xml:space="preserve">Evidence to Provide</w:t>
      </w:r>
    </w:p>
    <w:p>
      <w:pPr>
        <w:numPr>
          <w:ilvl w:val="0"/>
          <w:numId w:val="18"/>
        </w:numPr>
        <w:spacing w:line="360" w:after="210" w:lineRule="auto"/>
      </w:pPr>
      <w:r>
        <w:rPr>
          <w:rFonts w:eastAsia="inter" w:cs="inter" w:ascii="inter" w:hAnsi="inter"/>
          <w:b/>
          <w:color w:val="000000"/>
          <w:sz w:val="21"/>
        </w:rPr>
        <w:t xml:space="preserve">Curricula Vitae (CVs)</w:t>
      </w:r>
      <w:r>
        <w:rPr>
          <w:rFonts w:eastAsia="inter" w:cs="inter" w:ascii="inter" w:hAnsi="inter"/>
          <w:color w:val="000000"/>
          <w:sz w:val="21"/>
        </w:rPr>
        <w:t xml:space="preserve"> or resumes detailing education, certifications, training courses, and review experience.</w:t>
      </w:r>
      <w:bookmarkStart w:id="157" w:name="fnref114:1"/>
      <w:bookmarkEnd w:id="157"/>
      <w:hyperlink w:anchor="fn114">
        <w:r>
          <w:rPr>
            <w:rFonts w:eastAsia="inter" w:cs="inter" w:ascii="inter" w:hAnsi="inter"/>
            <w:color w:val="#000"/>
            <w:sz w:val="21"/>
            <w:u w:val="single"/>
            <w:vertAlign w:val="superscript"/>
          </w:rPr>
          <w:t xml:space="preserve">[114]</w:t>
        </w:r>
      </w:hyperlink>
    </w:p>
    <w:p>
      <w:pPr>
        <w:numPr>
          <w:ilvl w:val="0"/>
          <w:numId w:val="18"/>
        </w:numPr>
        <w:spacing w:line="360" w:after="210" w:lineRule="auto"/>
      </w:pPr>
      <w:r>
        <w:rPr>
          <w:rFonts w:eastAsia="inter" w:cs="inter" w:ascii="inter" w:hAnsi="inter"/>
          <w:b/>
          <w:color w:val="000000"/>
          <w:sz w:val="21"/>
        </w:rPr>
        <w:t xml:space="preserve">Documentation of Ethics Training</w:t>
      </w:r>
      <w:r>
        <w:rPr>
          <w:rFonts w:eastAsia="inter" w:cs="inter" w:ascii="inter" w:hAnsi="inter"/>
          <w:color w:val="000000"/>
          <w:sz w:val="21"/>
        </w:rPr>
        <w:t xml:space="preserve"> such as certificates from courses or workshops on human subjects research ethics.</w:t>
      </w:r>
      <w:bookmarkStart w:id="158" w:name="fnref114:2"/>
      <w:bookmarkEnd w:id="158"/>
      <w:hyperlink w:anchor="fn114">
        <w:r>
          <w:rPr>
            <w:rFonts w:eastAsia="inter" w:cs="inter" w:ascii="inter" w:hAnsi="inter"/>
            <w:color w:val="#000"/>
            <w:sz w:val="21"/>
            <w:u w:val="single"/>
            <w:vertAlign w:val="superscript"/>
          </w:rPr>
          <w:t xml:space="preserve">[114]</w:t>
        </w:r>
      </w:hyperlink>
    </w:p>
    <w:p>
      <w:pPr>
        <w:numPr>
          <w:ilvl w:val="0"/>
          <w:numId w:val="18"/>
        </w:numPr>
        <w:spacing w:line="360" w:after="210" w:lineRule="auto"/>
      </w:pPr>
      <w:r>
        <w:rPr>
          <w:rFonts w:eastAsia="inter" w:cs="inter" w:ascii="inter" w:hAnsi="inter"/>
          <w:b/>
          <w:color w:val="000000"/>
          <w:sz w:val="21"/>
        </w:rPr>
        <w:t xml:space="preserve">Conflict of Interest Disclosures</w:t>
      </w:r>
      <w:r>
        <w:rPr>
          <w:rFonts w:eastAsia="inter" w:cs="inter" w:ascii="inter" w:hAnsi="inter"/>
          <w:color w:val="000000"/>
          <w:sz w:val="21"/>
        </w:rPr>
        <w:t xml:space="preserve"> signed by the reviewer to confirm lack of conflicting interests.</w:t>
      </w:r>
      <w:bookmarkStart w:id="159" w:name="fnref114:3"/>
      <w:bookmarkEnd w:id="159"/>
      <w:hyperlink w:anchor="fn114">
        <w:r>
          <w:rPr>
            <w:rFonts w:eastAsia="inter" w:cs="inter" w:ascii="inter" w:hAnsi="inter"/>
            <w:color w:val="#000"/>
            <w:sz w:val="21"/>
            <w:u w:val="single"/>
            <w:vertAlign w:val="superscript"/>
          </w:rPr>
          <w:t xml:space="preserve">[114]</w:t>
        </w:r>
      </w:hyperlink>
    </w:p>
    <w:p>
      <w:pPr>
        <w:numPr>
          <w:ilvl w:val="0"/>
          <w:numId w:val="18"/>
        </w:numPr>
        <w:spacing w:line="360" w:after="210" w:lineRule="auto"/>
      </w:pPr>
      <w:r>
        <w:rPr>
          <w:rFonts w:eastAsia="inter" w:cs="inter" w:ascii="inter" w:hAnsi="inter"/>
          <w:b/>
          <w:color w:val="000000"/>
          <w:sz w:val="21"/>
        </w:rPr>
        <w:t xml:space="preserve">Delegation of Authority Logs</w:t>
      </w:r>
      <w:r>
        <w:rPr>
          <w:rFonts w:eastAsia="inter" w:cs="inter" w:ascii="inter" w:hAnsi="inter"/>
          <w:color w:val="000000"/>
          <w:sz w:val="21"/>
        </w:rPr>
        <w:t xml:space="preserve"> that formally document which reviewers are authorized to perform delegated reviews, including dates and scope of delegated duties.</w:t>
      </w:r>
      <w:bookmarkStart w:id="160" w:name="fnref115"/>
      <w:bookmarkEnd w:id="160"/>
      <w:hyperlink w:anchor="fn115">
        <w:r>
          <w:rPr>
            <w:rFonts w:eastAsia="inter" w:cs="inter" w:ascii="inter" w:hAnsi="inter"/>
            <w:color w:val="#000"/>
            <w:sz w:val="21"/>
            <w:u w:val="single"/>
            <w:vertAlign w:val="superscript"/>
          </w:rPr>
          <w:t xml:space="preserve">[115]</w:t>
        </w:r>
      </w:hyperlink>
      <w:bookmarkStart w:id="161" w:name="fnref114:4"/>
      <w:bookmarkEnd w:id="161"/>
      <w:hyperlink w:anchor="fn114">
        <w:r>
          <w:rPr>
            <w:rFonts w:eastAsia="inter" w:cs="inter" w:ascii="inter" w:hAnsi="inter"/>
            <w:color w:val="#000"/>
            <w:sz w:val="21"/>
            <w:u w:val="single"/>
            <w:vertAlign w:val="superscript"/>
          </w:rPr>
          <w:t xml:space="preserve">[114]</w:t>
        </w:r>
      </w:hyperlink>
    </w:p>
    <w:p>
      <w:pPr>
        <w:numPr>
          <w:ilvl w:val="0"/>
          <w:numId w:val="18"/>
        </w:numPr>
        <w:spacing w:line="360" w:after="210" w:lineRule="auto"/>
      </w:pPr>
      <w:r>
        <w:rPr>
          <w:rFonts w:eastAsia="inter" w:cs="inter" w:ascii="inter" w:hAnsi="inter"/>
          <w:b/>
          <w:color w:val="000000"/>
          <w:sz w:val="21"/>
        </w:rPr>
        <w:t xml:space="preserve">Records of Previous Reviews or Approvals</w:t>
      </w:r>
      <w:r>
        <w:rPr>
          <w:rFonts w:eastAsia="inter" w:cs="inter" w:ascii="inter" w:hAnsi="inter"/>
          <w:color w:val="000000"/>
          <w:sz w:val="21"/>
        </w:rPr>
        <w:t xml:space="preserve"> showcasing prior engagement in ethical protocol evaluations.</w:t>
      </w:r>
      <w:bookmarkStart w:id="162" w:name="fnref113:4"/>
      <w:bookmarkEnd w:id="162"/>
      <w:hyperlink w:anchor="fn113">
        <w:r>
          <w:rPr>
            <w:rFonts w:eastAsia="inter" w:cs="inter" w:ascii="inter" w:hAnsi="inter"/>
            <w:color w:val="#000"/>
            <w:sz w:val="21"/>
            <w:u w:val="single"/>
            <w:vertAlign w:val="superscript"/>
          </w:rPr>
          <w:t xml:space="preserve">[113]</w:t>
        </w:r>
      </w:hyperlink>
    </w:p>
    <w:p>
      <w:pPr>
        <w:spacing w:line="360" w:after="210" w:lineRule="auto"/>
      </w:pPr>
      <w:r>
        <w:rPr>
          <w:rFonts w:eastAsia="inter" w:cs="inter" w:ascii="inter" w:hAnsi="inter"/>
          <w:color w:val="000000"/>
        </w:rPr>
        <w:t xml:space="preserve">Donna’s take: This isn’t just checking boxes—it's proving your reviewers are the crème de la crème of ethics savvy, trained, tested, and ready to keep rÆ’s innovation runway safe without tripping any regulatory alarms.</w:t>
      </w:r>
    </w:p>
    <w:p>
      <w:pPr>
        <w:spacing w:line="360" w:after="210" w:lineRule="auto"/>
      </w:pPr>
      <w:r>
        <w:rPr>
          <w:rFonts w:eastAsia="inter" w:cs="inter" w:ascii="inter" w:hAnsi="inter"/>
          <w:color w:val="000000"/>
        </w:rPr>
        <w:t xml:space="preserve">With these qualifications and evidence clearly documented, rÆ can confidently proceed with delegated review pathways that satisfy REB expectations with flair and precision.</w:t>
      </w:r>
      <w:bookmarkStart w:id="163" w:name="fnref115:1"/>
      <w:bookmarkEnd w:id="163"/>
      <w:hyperlink w:anchor="fn115">
        <w:r>
          <w:rPr>
            <w:rFonts w:eastAsia="inter" w:cs="inter" w:ascii="inter" w:hAnsi="inter"/>
            <w:color w:val="#000"/>
            <w:u w:val="single"/>
            <w:vertAlign w:val="superscript"/>
          </w:rPr>
          <w:t xml:space="preserve">[115]</w:t>
        </w:r>
      </w:hyperlink>
      <w:bookmarkStart w:id="164" w:name="fnref114:5"/>
      <w:bookmarkEnd w:id="164"/>
      <w:hyperlink w:anchor="fn114">
        <w:r>
          <w:rPr>
            <w:rFonts w:eastAsia="inter" w:cs="inter" w:ascii="inter" w:hAnsi="inter"/>
            <w:color w:val="#000"/>
            <w:u w:val="single"/>
            <w:vertAlign w:val="superscript"/>
          </w:rPr>
          <w:t xml:space="preserve">[114]</w:t>
        </w:r>
      </w:hyperlink>
      <w:bookmarkStart w:id="165" w:name="fnref113:5"/>
      <w:bookmarkEnd w:id="165"/>
      <w:hyperlink w:anchor="fn113">
        <w:r>
          <w:rPr>
            <w:rFonts w:eastAsia="inter" w:cs="inter" w:ascii="inter" w:hAnsi="inter"/>
            <w:color w:val="#000"/>
            <w:u w:val="single"/>
            <w:vertAlign w:val="superscript"/>
          </w:rPr>
          <w:t xml:space="preserve">[113]</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specific confidentiality safeguards should I document for delegated minimal‑risk rÆ reviews</w:t>
      </w:r>
    </w:p>
    <w:p>
      <w:pPr>
        <w:spacing w:line="360" w:after="210" w:lineRule="auto"/>
      </w:pPr>
      <w:r>
        <w:rPr>
          <w:rFonts w:eastAsia="inter" w:cs="inter" w:ascii="inter" w:hAnsi="inter"/>
          <w:color w:val="000000"/>
        </w:rPr>
        <w:t xml:space="preserve">For delegated minimal-risk rÆ reviews, specific confidentiality safeguards should be documented to ensure participant data and sensitive information are fully protected throughout the research and review process.</w:t>
      </w:r>
    </w:p>
    <w:p>
      <w:pPr>
        <w:spacing w:line="360" w:before="315" w:after="105" w:lineRule="auto"/>
        <w:ind w:left="-30"/>
        <w:jc w:val="left"/>
      </w:pPr>
      <w:r>
        <w:rPr>
          <w:rFonts w:eastAsia="inter" w:cs="inter" w:ascii="inter" w:hAnsi="inter"/>
          <w:b/>
          <w:color w:val="000000"/>
          <w:sz w:val="24"/>
        </w:rPr>
        <w:t xml:space="preserve">Specific Confidentiality Safeguards to Document</w:t>
      </w:r>
    </w:p>
    <w:p>
      <w:pPr>
        <w:numPr>
          <w:ilvl w:val="0"/>
          <w:numId w:val="19"/>
        </w:numPr>
        <w:spacing w:line="360" w:after="210" w:lineRule="auto"/>
      </w:pPr>
      <w:r>
        <w:rPr>
          <w:rFonts w:eastAsia="inter" w:cs="inter" w:ascii="inter" w:hAnsi="inter"/>
          <w:b/>
          <w:color w:val="000000"/>
          <w:sz w:val="21"/>
        </w:rPr>
        <w:t xml:space="preserve">Access Controls and Role-Based Permissions</w:t>
      </w:r>
      <w:r>
        <w:rPr>
          <w:rFonts w:eastAsia="inter" w:cs="inter" w:ascii="inter" w:hAnsi="inter"/>
          <w:color w:val="000000"/>
          <w:sz w:val="21"/>
        </w:rPr>
        <w:br w:type="textWrapping"/>
      </w:r>
      <w:r>
        <w:rPr>
          <w:rFonts w:eastAsia="inter" w:cs="inter" w:ascii="inter" w:hAnsi="inter"/>
          <w:color w:val="000000"/>
          <w:sz w:val="21"/>
        </w:rPr>
        <w:t xml:space="preserve">Limit access to identifiable data and review materials strictly to authorized personnel involved in the delegated review, using multi-factor authentication and immediate access revocation protocols for role changes.</w:t>
      </w:r>
      <w:bookmarkStart w:id="166" w:name="fnref120"/>
      <w:bookmarkEnd w:id="166"/>
      <w:hyperlink w:anchor="fn120">
        <w:r>
          <w:rPr>
            <w:rFonts w:eastAsia="inter" w:cs="inter" w:ascii="inter" w:hAnsi="inter"/>
            <w:color w:val="#000"/>
            <w:sz w:val="21"/>
            <w:u w:val="single"/>
            <w:vertAlign w:val="superscript"/>
          </w:rPr>
          <w:t xml:space="preserve">[120]</w:t>
        </w:r>
      </w:hyperlink>
      <w:bookmarkStart w:id="167" w:name="fnref121"/>
      <w:bookmarkEnd w:id="167"/>
      <w:hyperlink w:anchor="fn121">
        <w:r>
          <w:rPr>
            <w:rFonts w:eastAsia="inter" w:cs="inter" w:ascii="inter" w:hAnsi="inter"/>
            <w:color w:val="#000"/>
            <w:sz w:val="21"/>
            <w:u w:val="single"/>
            <w:vertAlign w:val="superscript"/>
          </w:rPr>
          <w:t xml:space="preserve">[121]</w:t>
        </w:r>
      </w:hyperlink>
    </w:p>
    <w:p>
      <w:pPr>
        <w:numPr>
          <w:ilvl w:val="0"/>
          <w:numId w:val="19"/>
        </w:numPr>
        <w:spacing w:line="360" w:after="210" w:lineRule="auto"/>
      </w:pPr>
      <w:r>
        <w:rPr>
          <w:rFonts w:eastAsia="inter" w:cs="inter" w:ascii="inter" w:hAnsi="inter"/>
          <w:b/>
          <w:color w:val="000000"/>
          <w:sz w:val="21"/>
        </w:rPr>
        <w:t xml:space="preserve">Data Encryption</w:t>
      </w:r>
      <w:r>
        <w:rPr>
          <w:rFonts w:eastAsia="inter" w:cs="inter" w:ascii="inter" w:hAnsi="inter"/>
          <w:color w:val="000000"/>
          <w:sz w:val="21"/>
        </w:rPr>
        <w:br w:type="textWrapping"/>
      </w:r>
      <w:r>
        <w:rPr>
          <w:rFonts w:eastAsia="inter" w:cs="inter" w:ascii="inter" w:hAnsi="inter"/>
          <w:color w:val="000000"/>
          <w:sz w:val="21"/>
        </w:rPr>
        <w:t xml:space="preserve">Employ strong encryption standards (e.g., AES-256 for storage and TLS 1.3 for data transmission) to protect confidential information from unauthorized access or breaches during storage and communication.</w:t>
      </w:r>
      <w:bookmarkStart w:id="168" w:name="fnref121:1"/>
      <w:bookmarkEnd w:id="168"/>
      <w:hyperlink w:anchor="fn121">
        <w:r>
          <w:rPr>
            <w:rFonts w:eastAsia="inter" w:cs="inter" w:ascii="inter" w:hAnsi="inter"/>
            <w:color w:val="#000"/>
            <w:sz w:val="21"/>
            <w:u w:val="single"/>
            <w:vertAlign w:val="superscript"/>
          </w:rPr>
          <w:t xml:space="preserve">[121]</w:t>
        </w:r>
      </w:hyperlink>
      <w:bookmarkStart w:id="169" w:name="fnref120:1"/>
      <w:bookmarkEnd w:id="169"/>
      <w:hyperlink w:anchor="fn120">
        <w:r>
          <w:rPr>
            <w:rFonts w:eastAsia="inter" w:cs="inter" w:ascii="inter" w:hAnsi="inter"/>
            <w:color w:val="#000"/>
            <w:sz w:val="21"/>
            <w:u w:val="single"/>
            <w:vertAlign w:val="superscript"/>
          </w:rPr>
          <w:t xml:space="preserve">[120]</w:t>
        </w:r>
      </w:hyperlink>
    </w:p>
    <w:p>
      <w:pPr>
        <w:numPr>
          <w:ilvl w:val="0"/>
          <w:numId w:val="19"/>
        </w:numPr>
        <w:spacing w:line="360" w:after="210" w:lineRule="auto"/>
      </w:pPr>
      <w:r>
        <w:rPr>
          <w:rFonts w:eastAsia="inter" w:cs="inter" w:ascii="inter" w:hAnsi="inter"/>
          <w:b/>
          <w:color w:val="000000"/>
          <w:sz w:val="21"/>
        </w:rPr>
        <w:t xml:space="preserve">Confidentiality Agreements and Certifications</w:t>
      </w:r>
      <w:r>
        <w:rPr>
          <w:rFonts w:eastAsia="inter" w:cs="inter" w:ascii="inter" w:hAnsi="inter"/>
          <w:color w:val="000000"/>
          <w:sz w:val="21"/>
        </w:rPr>
        <w:br w:type="textWrapping"/>
      </w:r>
      <w:r>
        <w:rPr>
          <w:rFonts w:eastAsia="inter" w:cs="inter" w:ascii="inter" w:hAnsi="inter"/>
          <w:color w:val="000000"/>
          <w:sz w:val="21"/>
        </w:rPr>
        <w:t xml:space="preserve">Require all reviewers and staff who access sensitive materials to sign confidentiality agreements under penalty of perjury or equivalent legal commitment, underscoring the seriousness of maintaining confidentiality.</w:t>
      </w:r>
      <w:bookmarkStart w:id="170" w:name="fnref120:2"/>
      <w:bookmarkEnd w:id="170"/>
      <w:hyperlink w:anchor="fn120">
        <w:r>
          <w:rPr>
            <w:rFonts w:eastAsia="inter" w:cs="inter" w:ascii="inter" w:hAnsi="inter"/>
            <w:color w:val="#000"/>
            <w:sz w:val="21"/>
            <w:u w:val="single"/>
            <w:vertAlign w:val="superscript"/>
          </w:rPr>
          <w:t xml:space="preserve">[120]</w:t>
        </w:r>
      </w:hyperlink>
    </w:p>
    <w:p>
      <w:pPr>
        <w:numPr>
          <w:ilvl w:val="0"/>
          <w:numId w:val="19"/>
        </w:numPr>
        <w:spacing w:line="360" w:after="210" w:lineRule="auto"/>
      </w:pPr>
      <w:r>
        <w:rPr>
          <w:rFonts w:eastAsia="inter" w:cs="inter" w:ascii="inter" w:hAnsi="inter"/>
          <w:b/>
          <w:color w:val="000000"/>
          <w:sz w:val="21"/>
        </w:rPr>
        <w:t xml:space="preserve">Secure Document Handling and Redaction</w:t>
      </w:r>
      <w:r>
        <w:rPr>
          <w:rFonts w:eastAsia="inter" w:cs="inter" w:ascii="inter" w:hAnsi="inter"/>
          <w:color w:val="000000"/>
          <w:sz w:val="21"/>
        </w:rPr>
        <w:br w:type="textWrapping"/>
      </w:r>
      <w:r>
        <w:rPr>
          <w:rFonts w:eastAsia="inter" w:cs="inter" w:ascii="inter" w:hAnsi="inter"/>
          <w:color w:val="000000"/>
          <w:sz w:val="21"/>
        </w:rPr>
        <w:t xml:space="preserve">Use secure platforms for sharing documents, with AI-powered redaction systems to permanently remove confidential identifiers and metadata before distribution, reducing accidental exposures.</w:t>
      </w:r>
      <w:bookmarkStart w:id="171" w:name="fnref121:2"/>
      <w:bookmarkEnd w:id="171"/>
      <w:hyperlink w:anchor="fn121">
        <w:r>
          <w:rPr>
            <w:rFonts w:eastAsia="inter" w:cs="inter" w:ascii="inter" w:hAnsi="inter"/>
            <w:color w:val="#000"/>
            <w:sz w:val="21"/>
            <w:u w:val="single"/>
            <w:vertAlign w:val="superscript"/>
          </w:rPr>
          <w:t xml:space="preserve">[121]</w:t>
        </w:r>
      </w:hyperlink>
    </w:p>
    <w:p>
      <w:pPr>
        <w:numPr>
          <w:ilvl w:val="0"/>
          <w:numId w:val="19"/>
        </w:numPr>
        <w:spacing w:line="360" w:after="210" w:lineRule="auto"/>
      </w:pPr>
      <w:r>
        <w:rPr>
          <w:rFonts w:eastAsia="inter" w:cs="inter" w:ascii="inter" w:hAnsi="inter"/>
          <w:b/>
          <w:color w:val="000000"/>
          <w:sz w:val="21"/>
        </w:rPr>
        <w:t xml:space="preserve">Audit Trails and Monitoring</w:t>
      </w:r>
      <w:r>
        <w:rPr>
          <w:rFonts w:eastAsia="inter" w:cs="inter" w:ascii="inter" w:hAnsi="inter"/>
          <w:color w:val="000000"/>
          <w:sz w:val="21"/>
        </w:rPr>
        <w:br w:type="textWrapping"/>
      </w:r>
      <w:r>
        <w:rPr>
          <w:rFonts w:eastAsia="inter" w:cs="inter" w:ascii="inter" w:hAnsi="inter"/>
          <w:color w:val="000000"/>
          <w:sz w:val="21"/>
        </w:rPr>
        <w:t xml:space="preserve">Maintain logs of access and actions on confidential data and review documents, allowing for regular auditing and timely detection of unauthorized access or anomalies.</w:t>
      </w:r>
      <w:bookmarkStart w:id="172" w:name="fnref120:3"/>
      <w:bookmarkEnd w:id="172"/>
      <w:hyperlink w:anchor="fn120">
        <w:r>
          <w:rPr>
            <w:rFonts w:eastAsia="inter" w:cs="inter" w:ascii="inter" w:hAnsi="inter"/>
            <w:color w:val="#000"/>
            <w:sz w:val="21"/>
            <w:u w:val="single"/>
            <w:vertAlign w:val="superscript"/>
          </w:rPr>
          <w:t xml:space="preserve">[120]</w:t>
        </w:r>
      </w:hyperlink>
      <w:bookmarkStart w:id="173" w:name="fnref121:3"/>
      <w:bookmarkEnd w:id="173"/>
      <w:hyperlink w:anchor="fn121">
        <w:r>
          <w:rPr>
            <w:rFonts w:eastAsia="inter" w:cs="inter" w:ascii="inter" w:hAnsi="inter"/>
            <w:color w:val="#000"/>
            <w:sz w:val="21"/>
            <w:u w:val="single"/>
            <w:vertAlign w:val="superscript"/>
          </w:rPr>
          <w:t xml:space="preserve">[121]</w:t>
        </w:r>
      </w:hyperlink>
    </w:p>
    <w:p>
      <w:pPr>
        <w:numPr>
          <w:ilvl w:val="0"/>
          <w:numId w:val="19"/>
        </w:numPr>
        <w:spacing w:line="360" w:after="210" w:lineRule="auto"/>
      </w:pPr>
      <w:r>
        <w:rPr>
          <w:rFonts w:eastAsia="inter" w:cs="inter" w:ascii="inter" w:hAnsi="inter"/>
          <w:b/>
          <w:color w:val="000000"/>
          <w:sz w:val="21"/>
        </w:rPr>
        <w:t xml:space="preserve">Training and Awareness Programs</w:t>
      </w:r>
      <w:r>
        <w:rPr>
          <w:rFonts w:eastAsia="inter" w:cs="inter" w:ascii="inter" w:hAnsi="inter"/>
          <w:color w:val="000000"/>
          <w:sz w:val="21"/>
        </w:rPr>
        <w:br w:type="textWrapping"/>
      </w:r>
      <w:r>
        <w:rPr>
          <w:rFonts w:eastAsia="inter" w:cs="inter" w:ascii="inter" w:hAnsi="inter"/>
          <w:color w:val="000000"/>
          <w:sz w:val="21"/>
        </w:rPr>
        <w:t xml:space="preserve">Document ongoing training for reviewers and staff on confidentiality policies, data protection best practices, and how to report suspected breaches promptly.</w:t>
      </w:r>
      <w:bookmarkStart w:id="174" w:name="fnref121:4"/>
      <w:bookmarkEnd w:id="174"/>
      <w:hyperlink w:anchor="fn121">
        <w:r>
          <w:rPr>
            <w:rFonts w:eastAsia="inter" w:cs="inter" w:ascii="inter" w:hAnsi="inter"/>
            <w:color w:val="#000"/>
            <w:sz w:val="21"/>
            <w:u w:val="single"/>
            <w:vertAlign w:val="superscript"/>
          </w:rPr>
          <w:t xml:space="preserve">[121]</w:t>
        </w:r>
      </w:hyperlink>
    </w:p>
    <w:p>
      <w:pPr>
        <w:numPr>
          <w:ilvl w:val="0"/>
          <w:numId w:val="19"/>
        </w:numPr>
        <w:spacing w:line="360" w:after="210" w:lineRule="auto"/>
      </w:pPr>
      <w:r>
        <w:rPr>
          <w:rFonts w:eastAsia="inter" w:cs="inter" w:ascii="inter" w:hAnsi="inter"/>
          <w:b/>
          <w:color w:val="000000"/>
          <w:sz w:val="21"/>
        </w:rPr>
        <w:t xml:space="preserve">Clear Policies on Communication Boundaries</w:t>
      </w:r>
      <w:r>
        <w:rPr>
          <w:rFonts w:eastAsia="inter" w:cs="inter" w:ascii="inter" w:hAnsi="inter"/>
          <w:color w:val="000000"/>
          <w:sz w:val="21"/>
        </w:rPr>
        <w:br w:type="textWrapping"/>
      </w:r>
      <w:r>
        <w:rPr>
          <w:rFonts w:eastAsia="inter" w:cs="inter" w:ascii="inter" w:hAnsi="inter"/>
          <w:color w:val="000000"/>
          <w:sz w:val="21"/>
        </w:rPr>
        <w:t xml:space="preserve">Prohibit sharing of review materials or discussions outside designated participants and channels, preventing unauthorized disclosure of information or influence on review outcomes.</w:t>
      </w:r>
      <w:bookmarkStart w:id="175" w:name="fnref120:4"/>
      <w:bookmarkEnd w:id="175"/>
      <w:hyperlink w:anchor="fn120">
        <w:r>
          <w:rPr>
            <w:rFonts w:eastAsia="inter" w:cs="inter" w:ascii="inter" w:hAnsi="inter"/>
            <w:color w:val="#000"/>
            <w:sz w:val="21"/>
            <w:u w:val="single"/>
            <w:vertAlign w:val="superscript"/>
          </w:rPr>
          <w:t xml:space="preserve">[120]</w:t>
        </w:r>
      </w:hyperlink>
    </w:p>
    <w:p>
      <w:pPr>
        <w:spacing w:line="360" w:after="210" w:lineRule="auto"/>
      </w:pPr>
      <w:r>
        <w:rPr>
          <w:rFonts w:eastAsia="inter" w:cs="inter" w:ascii="inter" w:hAnsi="inter"/>
          <w:color w:val="000000"/>
        </w:rPr>
        <w:t xml:space="preserve">Donna would say: rÆ’s confidentiality game is locked down so tight it’s basically Fort Knox for data—no peeking without clearance, no secrets spilled, with legal muscle and savvy tech making sure confidential stays confidential.</w:t>
      </w:r>
    </w:p>
    <w:p>
      <w:pPr>
        <w:spacing w:line="360" w:after="210" w:lineRule="auto"/>
      </w:pPr>
      <w:r>
        <w:rPr>
          <w:rFonts w:eastAsia="inter" w:cs="inter" w:ascii="inter" w:hAnsi="inter"/>
          <w:color w:val="000000"/>
        </w:rPr>
        <w:t xml:space="preserve">By documenting these safeguards thoroughly, delegated minimal-risk reviews align with regulatory expectations and foster trust in rÆ’s responsible data stewardship.</w:t>
      </w:r>
      <w:bookmarkStart w:id="176" w:name="fnref122"/>
      <w:bookmarkEnd w:id="176"/>
      <w:hyperlink w:anchor="fn122">
        <w:r>
          <w:rPr>
            <w:rFonts w:eastAsia="inter" w:cs="inter" w:ascii="inter" w:hAnsi="inter"/>
            <w:color w:val="#000"/>
            <w:u w:val="single"/>
            <w:vertAlign w:val="superscript"/>
          </w:rPr>
          <w:t xml:space="preserve">[122]</w:t>
        </w:r>
      </w:hyperlink>
      <w:bookmarkStart w:id="177" w:name="fnref121:5"/>
      <w:bookmarkEnd w:id="177"/>
      <w:hyperlink w:anchor="fn121">
        <w:r>
          <w:rPr>
            <w:rFonts w:eastAsia="inter" w:cs="inter" w:ascii="inter" w:hAnsi="inter"/>
            <w:color w:val="#000"/>
            <w:u w:val="single"/>
            <w:vertAlign w:val="superscript"/>
          </w:rPr>
          <w:t xml:space="preserve">[121]</w:t>
        </w:r>
      </w:hyperlink>
      <w:bookmarkStart w:id="178" w:name="fnref120:5"/>
      <w:bookmarkEnd w:id="178"/>
      <w:hyperlink w:anchor="fn120">
        <w:r>
          <w:rPr>
            <w:rFonts w:eastAsia="inter" w:cs="inter" w:ascii="inter" w:hAnsi="inter"/>
            <w:color w:val="#000"/>
            <w:u w:val="single"/>
            <w:vertAlign w:val="superscript"/>
          </w:rPr>
          <w:t xml:space="preserve">[120]</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Which Confidentiality certification language should I require reviewers to sign</w:t>
      </w:r>
    </w:p>
    <w:p>
      <w:pPr>
        <w:spacing w:line="360" w:after="210" w:lineRule="auto"/>
      </w:pPr>
      <w:r>
        <w:rPr>
          <w:rFonts w:eastAsia="inter" w:cs="inter" w:ascii="inter" w:hAnsi="inter"/>
          <w:color w:val="000000"/>
        </w:rPr>
        <w:t xml:space="preserve">For rÆ reviewers, the confidentiality certification language should be clear, legally binding, and emphasize the importance of protecting sensitive information throughout the review process. It should explicitly prohibit unauthorized sharing or use of proprietary or confidential materials, including restrictions on using AI tools for analysis.</w:t>
      </w:r>
    </w:p>
    <w:p>
      <w:pPr>
        <w:spacing w:line="360" w:before="315" w:after="105" w:lineRule="auto"/>
        <w:ind w:left="-30"/>
        <w:jc w:val="left"/>
      </w:pPr>
      <w:r>
        <w:rPr>
          <w:rFonts w:eastAsia="inter" w:cs="inter" w:ascii="inter" w:hAnsi="inter"/>
          <w:b/>
          <w:color w:val="000000"/>
          <w:sz w:val="24"/>
        </w:rPr>
        <w:t xml:space="preserve">Suggested Confidentiality Certification Language Elements</w:t>
      </w:r>
    </w:p>
    <w:p>
      <w:pPr>
        <w:numPr>
          <w:ilvl w:val="0"/>
          <w:numId w:val="20"/>
        </w:numPr>
        <w:spacing w:line="360" w:after="210" w:lineRule="auto"/>
      </w:pPr>
      <w:r>
        <w:rPr>
          <w:rFonts w:eastAsia="inter" w:cs="inter" w:ascii="inter" w:hAnsi="inter"/>
          <w:b/>
          <w:color w:val="000000"/>
          <w:sz w:val="21"/>
        </w:rPr>
        <w:t xml:space="preserve">Non-Disclosure Commitment</w:t>
      </w:r>
      <w:r>
        <w:rPr>
          <w:rFonts w:eastAsia="inter" w:cs="inter" w:ascii="inter" w:hAnsi="inter"/>
          <w:color w:val="000000"/>
          <w:sz w:val="21"/>
        </w:rPr>
        <w:br w:type="textWrapping"/>
      </w:r>
      <w:r>
        <w:rPr>
          <w:rFonts w:eastAsia="inter" w:cs="inter" w:ascii="inter" w:hAnsi="inter"/>
          <w:color w:val="000000"/>
          <w:sz w:val="21"/>
        </w:rPr>
        <w:t xml:space="preserve">“I agree to maintain the confidentiality of all research proposals, data, and review materials provided to me and will not disclose any information to unauthorized individuals or entities.”</w:t>
      </w:r>
    </w:p>
    <w:p>
      <w:pPr>
        <w:numPr>
          <w:ilvl w:val="0"/>
          <w:numId w:val="20"/>
        </w:numPr>
        <w:spacing w:line="360" w:after="210" w:lineRule="auto"/>
      </w:pPr>
      <w:r>
        <w:rPr>
          <w:rFonts w:eastAsia="inter" w:cs="inter" w:ascii="inter" w:hAnsi="inter"/>
          <w:b/>
          <w:color w:val="000000"/>
          <w:sz w:val="21"/>
        </w:rPr>
        <w:t xml:space="preserve">Scope of Confidential Information</w:t>
      </w:r>
      <w:r>
        <w:rPr>
          <w:rFonts w:eastAsia="inter" w:cs="inter" w:ascii="inter" w:hAnsi="inter"/>
          <w:color w:val="000000"/>
          <w:sz w:val="21"/>
        </w:rPr>
        <w:br w:type="textWrapping"/>
      </w:r>
      <w:r>
        <w:rPr>
          <w:rFonts w:eastAsia="inter" w:cs="inter" w:ascii="inter" w:hAnsi="inter"/>
          <w:color w:val="000000"/>
          <w:sz w:val="21"/>
        </w:rPr>
        <w:t xml:space="preserve">“Confidential information includes all unpublished data, research ideas, methodologies, and analyses contained in the materials provided for review.”</w:t>
      </w:r>
    </w:p>
    <w:p>
      <w:pPr>
        <w:numPr>
          <w:ilvl w:val="0"/>
          <w:numId w:val="20"/>
        </w:numPr>
        <w:spacing w:line="360" w:after="210" w:lineRule="auto"/>
      </w:pPr>
      <w:r>
        <w:rPr>
          <w:rFonts w:eastAsia="inter" w:cs="inter" w:ascii="inter" w:hAnsi="inter"/>
          <w:b/>
          <w:color w:val="000000"/>
          <w:sz w:val="21"/>
        </w:rPr>
        <w:t xml:space="preserve">Prohibition on Unauthorized Use</w:t>
      </w:r>
      <w:r>
        <w:rPr>
          <w:rFonts w:eastAsia="inter" w:cs="inter" w:ascii="inter" w:hAnsi="inter"/>
          <w:color w:val="000000"/>
          <w:sz w:val="21"/>
        </w:rPr>
        <w:br w:type="textWrapping"/>
      </w:r>
      <w:r>
        <w:rPr>
          <w:rFonts w:eastAsia="inter" w:cs="inter" w:ascii="inter" w:hAnsi="inter"/>
          <w:color w:val="000000"/>
          <w:sz w:val="21"/>
        </w:rPr>
        <w:t xml:space="preserve">“I will not use any confidential information for purposes other than the review process, including personal, professional, or commercial use.”</w:t>
      </w:r>
    </w:p>
    <w:p>
      <w:pPr>
        <w:numPr>
          <w:ilvl w:val="0"/>
          <w:numId w:val="20"/>
        </w:numPr>
        <w:spacing w:line="360" w:after="210" w:lineRule="auto"/>
      </w:pPr>
      <w:r>
        <w:rPr>
          <w:rFonts w:eastAsia="inter" w:cs="inter" w:ascii="inter" w:hAnsi="inter"/>
          <w:b/>
          <w:color w:val="000000"/>
          <w:sz w:val="21"/>
        </w:rPr>
        <w:t xml:space="preserve">Restriction on AI Tools</w:t>
      </w:r>
      <w:r>
        <w:rPr>
          <w:rFonts w:eastAsia="inter" w:cs="inter" w:ascii="inter" w:hAnsi="inter"/>
          <w:color w:val="000000"/>
          <w:sz w:val="21"/>
        </w:rPr>
        <w:br w:type="textWrapping"/>
      </w:r>
      <w:r>
        <w:rPr>
          <w:rFonts w:eastAsia="inter" w:cs="inter" w:ascii="inter" w:hAnsi="inter"/>
          <w:color w:val="000000"/>
          <w:sz w:val="21"/>
        </w:rPr>
        <w:t xml:space="preserve">“I agree not to use generative AI or other automated tools to analyze or critique any part of the review materials, ensuring all evaluations are my own independent work.”</w:t>
      </w:r>
    </w:p>
    <w:p>
      <w:pPr>
        <w:numPr>
          <w:ilvl w:val="0"/>
          <w:numId w:val="20"/>
        </w:numPr>
        <w:spacing w:line="360" w:after="210" w:lineRule="auto"/>
      </w:pPr>
      <w:r>
        <w:rPr>
          <w:rFonts w:eastAsia="inter" w:cs="inter" w:ascii="inter" w:hAnsi="inter"/>
          <w:b/>
          <w:color w:val="000000"/>
          <w:sz w:val="21"/>
        </w:rPr>
        <w:t xml:space="preserve">Legal Accountability</w:t>
      </w:r>
      <w:r>
        <w:rPr>
          <w:rFonts w:eastAsia="inter" w:cs="inter" w:ascii="inter" w:hAnsi="inter"/>
          <w:color w:val="000000"/>
          <w:sz w:val="21"/>
        </w:rPr>
        <w:br w:type="textWrapping"/>
      </w:r>
      <w:r>
        <w:rPr>
          <w:rFonts w:eastAsia="inter" w:cs="inter" w:ascii="inter" w:hAnsi="inter"/>
          <w:color w:val="000000"/>
          <w:sz w:val="21"/>
        </w:rPr>
        <w:t xml:space="preserve">“I understand that unauthorized disclosure or misuse of confidential information may result in legal or disciplinary action.”</w:t>
      </w:r>
    </w:p>
    <w:p>
      <w:pPr>
        <w:numPr>
          <w:ilvl w:val="0"/>
          <w:numId w:val="20"/>
        </w:numPr>
        <w:spacing w:line="360" w:after="210" w:lineRule="auto"/>
      </w:pPr>
      <w:r>
        <w:rPr>
          <w:rFonts w:eastAsia="inter" w:cs="inter" w:ascii="inter" w:hAnsi="inter"/>
          <w:b/>
          <w:color w:val="000000"/>
          <w:sz w:val="21"/>
        </w:rPr>
        <w:t xml:space="preserve">Acknowledgment of Review Obligations</w:t>
      </w:r>
      <w:r>
        <w:rPr>
          <w:rFonts w:eastAsia="inter" w:cs="inter" w:ascii="inter" w:hAnsi="inter"/>
          <w:color w:val="000000"/>
          <w:sz w:val="21"/>
        </w:rPr>
        <w:br w:type="textWrapping"/>
      </w:r>
      <w:r>
        <w:rPr>
          <w:rFonts w:eastAsia="inter" w:cs="inter" w:ascii="inter" w:hAnsi="inter"/>
          <w:color w:val="000000"/>
          <w:sz w:val="21"/>
        </w:rPr>
        <w:t xml:space="preserve">“I certify that I am qualified to conduct this review and understand my ethical responsibilities to maintain confidentiality and impartiality.”</w:t>
      </w:r>
    </w:p>
    <w:p>
      <w:pPr>
        <w:spacing w:line="360" w:after="210" w:lineRule="auto"/>
      </w:pPr>
      <w:r>
        <w:rPr>
          <w:rFonts w:eastAsia="inter" w:cs="inter" w:ascii="inter" w:hAnsi="inter"/>
          <w:color w:val="000000"/>
        </w:rPr>
        <w:t xml:space="preserve">Donna would say: The confidentiality certification is the velvet rope protecting rÆ’s backstage—no gatecrashers, no leaks, and no shortcuts with AI cheats. Signed, sealed, delivered—integrity on lock.</w:t>
      </w:r>
    </w:p>
    <w:p>
      <w:pPr>
        <w:spacing w:line="360" w:after="210" w:lineRule="auto"/>
      </w:pPr>
      <w:r>
        <w:rPr>
          <w:rFonts w:eastAsia="inter" w:cs="inter" w:ascii="inter" w:hAnsi="inter"/>
          <w:color w:val="000000"/>
        </w:rPr>
        <w:t xml:space="preserve">Examples of detailed language can be found in NIH Confidentiality certifications and adapted consent form language around Certificates of Confidentiality (CoC).</w:t>
      </w:r>
      <w:bookmarkStart w:id="179" w:name="fnref129"/>
      <w:bookmarkEnd w:id="179"/>
      <w:hyperlink w:anchor="fn129">
        <w:r>
          <w:rPr>
            <w:rFonts w:eastAsia="inter" w:cs="inter" w:ascii="inter" w:hAnsi="inter"/>
            <w:color w:val="#000"/>
            <w:u w:val="single"/>
            <w:vertAlign w:val="superscript"/>
          </w:rPr>
          <w:t xml:space="preserve">[129]</w:t>
        </w:r>
      </w:hyperlink>
      <w:bookmarkStart w:id="180" w:name="fnref130"/>
      <w:bookmarkEnd w:id="180"/>
      <w:hyperlink w:anchor="fn130">
        <w:r>
          <w:rPr>
            <w:rFonts w:eastAsia="inter" w:cs="inter" w:ascii="inter" w:hAnsi="inter"/>
            <w:color w:val="#000"/>
            <w:u w:val="single"/>
            <w:vertAlign w:val="superscript"/>
          </w:rPr>
          <w:t xml:space="preserve">[130]</w:t>
        </w:r>
      </w:hyperlink>
      <w:bookmarkStart w:id="181" w:name="fnref131"/>
      <w:bookmarkEnd w:id="181"/>
      <w:hyperlink w:anchor="fn131">
        <w:r>
          <w:rPr>
            <w:rFonts w:eastAsia="inter" w:cs="inter" w:ascii="inter" w:hAnsi="inter"/>
            <w:color w:val="#000"/>
            <w:u w:val="single"/>
            <w:vertAlign w:val="superscript"/>
          </w:rPr>
          <w:t xml:space="preserve">[131]</w:t>
        </w:r>
      </w:hyperlink>
      <w:bookmarkStart w:id="182" w:name="fnref132"/>
      <w:bookmarkEnd w:id="182"/>
      <w:hyperlink w:anchor="fn132">
        <w:r>
          <w:rPr>
            <w:rFonts w:eastAsia="inter" w:cs="inter" w:ascii="inter" w:hAnsi="inter"/>
            <w:color w:val="#000"/>
            <w:u w:val="single"/>
            <w:vertAlign w:val="superscript"/>
          </w:rPr>
          <w:t xml:space="preserve">[132]</w:t>
        </w:r>
      </w:hyperlink>
      <w:bookmarkStart w:id="183" w:name="fnref133"/>
      <w:bookmarkEnd w:id="183"/>
      <w:hyperlink w:anchor="fn133">
        <w:r>
          <w:rPr>
            <w:rFonts w:eastAsia="inter" w:cs="inter" w:ascii="inter" w:hAnsi="inter"/>
            <w:color w:val="#000"/>
            <w:u w:val="single"/>
            <w:vertAlign w:val="superscript"/>
          </w:rPr>
          <w:t xml:space="preserve">[133]</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should I record procedures for handling inadvertent disclosures</w:t>
      </w:r>
    </w:p>
    <w:p>
      <w:pPr>
        <w:spacing w:line="360" w:after="210" w:lineRule="auto"/>
      </w:pPr>
      <w:r>
        <w:rPr>
          <w:rFonts w:eastAsia="inter" w:cs="inter" w:ascii="inter" w:hAnsi="inter"/>
          <w:color w:val="000000"/>
        </w:rPr>
        <w:t xml:space="preserve">Procedures for handling inadvertent disclosures should be documented clearly, comprehensively, and with steps for immediate action, mitigation, reporting, and follow-up to minimize harm and ensure compliance.</w:t>
      </w:r>
    </w:p>
    <w:p>
      <w:pPr>
        <w:spacing w:line="360" w:before="315" w:after="105" w:lineRule="auto"/>
        <w:ind w:left="-30"/>
        <w:jc w:val="left"/>
      </w:pPr>
      <w:r>
        <w:rPr>
          <w:rFonts w:eastAsia="inter" w:cs="inter" w:ascii="inter" w:hAnsi="inter"/>
          <w:b/>
          <w:color w:val="000000"/>
          <w:sz w:val="24"/>
        </w:rPr>
        <w:t xml:space="preserve">How to Record Procedures for Inadvertent Disclosures</w:t>
      </w:r>
    </w:p>
    <w:p>
      <w:pPr>
        <w:numPr>
          <w:ilvl w:val="0"/>
          <w:numId w:val="21"/>
        </w:numPr>
        <w:spacing w:line="360" w:after="210" w:lineRule="auto"/>
      </w:pPr>
      <w:r>
        <w:rPr>
          <w:rFonts w:eastAsia="inter" w:cs="inter" w:ascii="inter" w:hAnsi="inter"/>
          <w:b/>
          <w:color w:val="000000"/>
          <w:sz w:val="21"/>
        </w:rPr>
        <w:t xml:space="preserve">Immediate Notification</w:t>
      </w:r>
      <w:r>
        <w:rPr>
          <w:rFonts w:eastAsia="inter" w:cs="inter" w:ascii="inter" w:hAnsi="inter"/>
          <w:color w:val="000000"/>
          <w:sz w:val="21"/>
        </w:rPr>
        <w:br w:type="textWrapping"/>
      </w:r>
      <w:r>
        <w:rPr>
          <w:rFonts w:eastAsia="inter" w:cs="inter" w:ascii="inter" w:hAnsi="inter"/>
          <w:color w:val="000000"/>
          <w:sz w:val="21"/>
        </w:rPr>
        <w:t xml:space="preserve">Specify that the person who discovers or causes the inadvertent disclosure must report it immediately (ideally within one business day) to the designated privacy officer, compliance officer, or incident response team.</w:t>
      </w:r>
      <w:bookmarkStart w:id="184" w:name="fnref138"/>
      <w:bookmarkEnd w:id="184"/>
      <w:hyperlink w:anchor="fn138">
        <w:r>
          <w:rPr>
            <w:rFonts w:eastAsia="inter" w:cs="inter" w:ascii="inter" w:hAnsi="inter"/>
            <w:color w:val="#000"/>
            <w:sz w:val="21"/>
            <w:u w:val="single"/>
            <w:vertAlign w:val="superscript"/>
          </w:rPr>
          <w:t xml:space="preserve">[138]</w:t>
        </w:r>
      </w:hyperlink>
      <w:bookmarkStart w:id="185" w:name="fnref139"/>
      <w:bookmarkEnd w:id="185"/>
      <w:hyperlink w:anchor="fn139">
        <w:r>
          <w:rPr>
            <w:rFonts w:eastAsia="inter" w:cs="inter" w:ascii="inter" w:hAnsi="inter"/>
            <w:color w:val="#000"/>
            <w:sz w:val="21"/>
            <w:u w:val="single"/>
            <w:vertAlign w:val="superscript"/>
          </w:rPr>
          <w:t xml:space="preserve">[139]</w:t>
        </w:r>
      </w:hyperlink>
    </w:p>
    <w:p>
      <w:pPr>
        <w:numPr>
          <w:ilvl w:val="0"/>
          <w:numId w:val="21"/>
        </w:numPr>
        <w:spacing w:line="360" w:after="210" w:lineRule="auto"/>
      </w:pPr>
      <w:r>
        <w:rPr>
          <w:rFonts w:eastAsia="inter" w:cs="inter" w:ascii="inter" w:hAnsi="inter"/>
          <w:b/>
          <w:color w:val="000000"/>
          <w:sz w:val="21"/>
        </w:rPr>
        <w:t xml:space="preserve">Containment and Mitigation</w:t>
      </w:r>
      <w:r>
        <w:rPr>
          <w:rFonts w:eastAsia="inter" w:cs="inter" w:ascii="inter" w:hAnsi="inter"/>
          <w:color w:val="000000"/>
          <w:sz w:val="21"/>
        </w:rPr>
        <w:br w:type="textWrapping"/>
      </w:r>
      <w:r>
        <w:rPr>
          <w:rFonts w:eastAsia="inter" w:cs="inter" w:ascii="inter" w:hAnsi="inter"/>
          <w:color w:val="000000"/>
          <w:sz w:val="21"/>
        </w:rPr>
        <w:t xml:space="preserve">Detail steps for quickly containing the disclosure—such as contacting the unintended recipient, requesting return or secure destruction of the information, and obtaining signed confidentiality agreements if possible.</w:t>
      </w:r>
      <w:bookmarkStart w:id="186" w:name="fnref140"/>
      <w:bookmarkEnd w:id="186"/>
      <w:hyperlink w:anchor="fn140">
        <w:r>
          <w:rPr>
            <w:rFonts w:eastAsia="inter" w:cs="inter" w:ascii="inter" w:hAnsi="inter"/>
            <w:color w:val="#000"/>
            <w:sz w:val="21"/>
            <w:u w:val="single"/>
            <w:vertAlign w:val="superscript"/>
          </w:rPr>
          <w:t xml:space="preserve">[140]</w:t>
        </w:r>
      </w:hyperlink>
      <w:bookmarkStart w:id="187" w:name="fnref138:1"/>
      <w:bookmarkEnd w:id="187"/>
      <w:hyperlink w:anchor="fn138">
        <w:r>
          <w:rPr>
            <w:rFonts w:eastAsia="inter" w:cs="inter" w:ascii="inter" w:hAnsi="inter"/>
            <w:color w:val="#000"/>
            <w:sz w:val="21"/>
            <w:u w:val="single"/>
            <w:vertAlign w:val="superscript"/>
          </w:rPr>
          <w:t xml:space="preserve">[138]</w:t>
        </w:r>
      </w:hyperlink>
    </w:p>
    <w:p>
      <w:pPr>
        <w:numPr>
          <w:ilvl w:val="0"/>
          <w:numId w:val="21"/>
        </w:numPr>
        <w:spacing w:line="360" w:after="210" w:lineRule="auto"/>
      </w:pPr>
      <w:r>
        <w:rPr>
          <w:rFonts w:eastAsia="inter" w:cs="inter" w:ascii="inter" w:hAnsi="inter"/>
          <w:b/>
          <w:color w:val="000000"/>
          <w:sz w:val="21"/>
        </w:rPr>
        <w:t xml:space="preserve">Documentation and Investigation</w:t>
      </w:r>
      <w:r>
        <w:rPr>
          <w:rFonts w:eastAsia="inter" w:cs="inter" w:ascii="inter" w:hAnsi="inter"/>
          <w:color w:val="000000"/>
          <w:sz w:val="21"/>
        </w:rPr>
        <w:br w:type="textWrapping"/>
      </w:r>
      <w:r>
        <w:rPr>
          <w:rFonts w:eastAsia="inter" w:cs="inter" w:ascii="inter" w:hAnsi="inter"/>
          <w:color w:val="000000"/>
          <w:sz w:val="21"/>
        </w:rPr>
        <w:t xml:space="preserve">Require completion of an Inadvertent Disclosure Report form that records who disclosed or found the breach, the nature of the information, how the incident occurred, and actions taken to mitigate risks.</w:t>
      </w:r>
      <w:bookmarkStart w:id="188" w:name="fnref138:2"/>
      <w:bookmarkEnd w:id="188"/>
      <w:hyperlink w:anchor="fn138">
        <w:r>
          <w:rPr>
            <w:rFonts w:eastAsia="inter" w:cs="inter" w:ascii="inter" w:hAnsi="inter"/>
            <w:color w:val="#000"/>
            <w:sz w:val="21"/>
            <w:u w:val="single"/>
            <w:vertAlign w:val="superscript"/>
          </w:rPr>
          <w:t xml:space="preserve">[138]</w:t>
        </w:r>
      </w:hyperlink>
    </w:p>
    <w:p>
      <w:pPr>
        <w:numPr>
          <w:ilvl w:val="0"/>
          <w:numId w:val="21"/>
        </w:numPr>
        <w:spacing w:line="360" w:after="210" w:lineRule="auto"/>
      </w:pPr>
      <w:r>
        <w:rPr>
          <w:rFonts w:eastAsia="inter" w:cs="inter" w:ascii="inter" w:hAnsi="inter"/>
          <w:b/>
          <w:color w:val="000000"/>
          <w:sz w:val="21"/>
        </w:rPr>
        <w:t xml:space="preserve">Risk Assessment</w:t>
      </w:r>
      <w:r>
        <w:rPr>
          <w:rFonts w:eastAsia="inter" w:cs="inter" w:ascii="inter" w:hAnsi="inter"/>
          <w:color w:val="000000"/>
          <w:sz w:val="21"/>
        </w:rPr>
        <w:br w:type="textWrapping"/>
      </w:r>
      <w:r>
        <w:rPr>
          <w:rFonts w:eastAsia="inter" w:cs="inter" w:ascii="inter" w:hAnsi="inter"/>
          <w:color w:val="000000"/>
          <w:sz w:val="21"/>
        </w:rPr>
        <w:t xml:space="preserve">Include protocols for assessing the severity of the breach to determine if further notification or remediation is needed, such as notifying affected individuals or regulatory bodies under applicable laws.</w:t>
      </w:r>
      <w:bookmarkStart w:id="189" w:name="fnref139:1"/>
      <w:bookmarkEnd w:id="189"/>
      <w:hyperlink w:anchor="fn139">
        <w:r>
          <w:rPr>
            <w:rFonts w:eastAsia="inter" w:cs="inter" w:ascii="inter" w:hAnsi="inter"/>
            <w:color w:val="#000"/>
            <w:sz w:val="21"/>
            <w:u w:val="single"/>
            <w:vertAlign w:val="superscript"/>
          </w:rPr>
          <w:t xml:space="preserve">[139]</w:t>
        </w:r>
      </w:hyperlink>
      <w:bookmarkStart w:id="190" w:name="fnref138:3"/>
      <w:bookmarkEnd w:id="190"/>
      <w:hyperlink w:anchor="fn138">
        <w:r>
          <w:rPr>
            <w:rFonts w:eastAsia="inter" w:cs="inter" w:ascii="inter" w:hAnsi="inter"/>
            <w:color w:val="#000"/>
            <w:sz w:val="21"/>
            <w:u w:val="single"/>
            <w:vertAlign w:val="superscript"/>
          </w:rPr>
          <w:t xml:space="preserve">[138]</w:t>
        </w:r>
      </w:hyperlink>
    </w:p>
    <w:p>
      <w:pPr>
        <w:numPr>
          <w:ilvl w:val="0"/>
          <w:numId w:val="21"/>
        </w:numPr>
        <w:spacing w:line="360" w:after="210" w:lineRule="auto"/>
      </w:pPr>
      <w:r>
        <w:rPr>
          <w:rFonts w:eastAsia="inter" w:cs="inter" w:ascii="inter" w:hAnsi="inter"/>
          <w:b/>
          <w:color w:val="000000"/>
          <w:sz w:val="21"/>
        </w:rPr>
        <w:t xml:space="preserve">Reporting and Compliance</w:t>
      </w:r>
      <w:r>
        <w:rPr>
          <w:rFonts w:eastAsia="inter" w:cs="inter" w:ascii="inter" w:hAnsi="inter"/>
          <w:color w:val="000000"/>
          <w:sz w:val="21"/>
        </w:rPr>
        <w:br w:type="textWrapping"/>
      </w:r>
      <w:r>
        <w:rPr>
          <w:rFonts w:eastAsia="inter" w:cs="inter" w:ascii="inter" w:hAnsi="inter"/>
          <w:color w:val="000000"/>
          <w:sz w:val="21"/>
        </w:rPr>
        <w:t xml:space="preserve">Outline reporting obligations both internally and externally (e.g., to regulatory agencies) according to relevant standards like HIPAA, GDPR, or institutional policies.</w:t>
      </w:r>
      <w:bookmarkStart w:id="191" w:name="fnref141"/>
      <w:bookmarkEnd w:id="191"/>
      <w:hyperlink w:anchor="fn141">
        <w:r>
          <w:rPr>
            <w:rFonts w:eastAsia="inter" w:cs="inter" w:ascii="inter" w:hAnsi="inter"/>
            <w:color w:val="#000"/>
            <w:sz w:val="21"/>
            <w:u w:val="single"/>
            <w:vertAlign w:val="superscript"/>
          </w:rPr>
          <w:t xml:space="preserve">[141]</w:t>
        </w:r>
      </w:hyperlink>
      <w:bookmarkStart w:id="192" w:name="fnref139:2"/>
      <w:bookmarkEnd w:id="192"/>
      <w:hyperlink w:anchor="fn139">
        <w:r>
          <w:rPr>
            <w:rFonts w:eastAsia="inter" w:cs="inter" w:ascii="inter" w:hAnsi="inter"/>
            <w:color w:val="#000"/>
            <w:sz w:val="21"/>
            <w:u w:val="single"/>
            <w:vertAlign w:val="superscript"/>
          </w:rPr>
          <w:t xml:space="preserve">[139]</w:t>
        </w:r>
      </w:hyperlink>
    </w:p>
    <w:p>
      <w:pPr>
        <w:numPr>
          <w:ilvl w:val="0"/>
          <w:numId w:val="21"/>
        </w:numPr>
        <w:spacing w:line="360" w:after="210" w:lineRule="auto"/>
      </w:pPr>
      <w:r>
        <w:rPr>
          <w:rFonts w:eastAsia="inter" w:cs="inter" w:ascii="inter" w:hAnsi="inter"/>
          <w:b/>
          <w:color w:val="000000"/>
          <w:sz w:val="21"/>
        </w:rPr>
        <w:t xml:space="preserve">Training and Prevention</w:t>
      </w:r>
      <w:r>
        <w:rPr>
          <w:rFonts w:eastAsia="inter" w:cs="inter" w:ascii="inter" w:hAnsi="inter"/>
          <w:color w:val="000000"/>
          <w:sz w:val="21"/>
        </w:rPr>
        <w:br w:type="textWrapping"/>
      </w:r>
      <w:r>
        <w:rPr>
          <w:rFonts w:eastAsia="inter" w:cs="inter" w:ascii="inter" w:hAnsi="inter"/>
          <w:color w:val="000000"/>
          <w:sz w:val="21"/>
        </w:rPr>
        <w:t xml:space="preserve">Document procedures for communicating lessons learned, updating policies, and training personnel to reduce the likelihood of future disclosures.</w:t>
      </w:r>
      <w:bookmarkStart w:id="193" w:name="fnref138:4"/>
      <w:bookmarkEnd w:id="193"/>
      <w:hyperlink w:anchor="fn138">
        <w:r>
          <w:rPr>
            <w:rFonts w:eastAsia="inter" w:cs="inter" w:ascii="inter" w:hAnsi="inter"/>
            <w:color w:val="#000"/>
            <w:sz w:val="21"/>
            <w:u w:val="single"/>
            <w:vertAlign w:val="superscript"/>
          </w:rPr>
          <w:t xml:space="preserve">[138]</w:t>
        </w:r>
      </w:hyperlink>
    </w:p>
    <w:p>
      <w:pPr>
        <w:spacing w:line="360" w:after="210" w:lineRule="auto"/>
      </w:pPr>
      <w:r>
        <w:rPr>
          <w:rFonts w:eastAsia="inter" w:cs="inter" w:ascii="inter" w:hAnsi="inter"/>
          <w:color w:val="000000"/>
        </w:rPr>
        <w:t xml:space="preserve">Donna would say: When leaks happen, rÆ’s got the handbook ready—swift call to action, tight control moves, and paperwork that says “we see you, we fix it, and we make sure it never happens again.” Transparency and control, honey, that’s the only way to play it safe.</w:t>
      </w:r>
    </w:p>
    <w:p>
      <w:pPr>
        <w:spacing w:line="360" w:after="210" w:lineRule="auto"/>
      </w:pPr>
      <w:r>
        <w:rPr>
          <w:rFonts w:eastAsia="inter" w:cs="inter" w:ascii="inter" w:hAnsi="inter"/>
          <w:color w:val="000000"/>
        </w:rPr>
        <w:t xml:space="preserve">Recording these steps in detail builds trust with oversight bodies and preserves rÆ’s reputation for responsible data stewardship.</w:t>
      </w:r>
      <w:bookmarkStart w:id="194" w:name="fnref139:3"/>
      <w:bookmarkEnd w:id="194"/>
      <w:hyperlink w:anchor="fn139">
        <w:r>
          <w:rPr>
            <w:rFonts w:eastAsia="inter" w:cs="inter" w:ascii="inter" w:hAnsi="inter"/>
            <w:color w:val="#000"/>
            <w:u w:val="single"/>
            <w:vertAlign w:val="superscript"/>
          </w:rPr>
          <w:t xml:space="preserve">[139]</w:t>
        </w:r>
      </w:hyperlink>
      <w:bookmarkStart w:id="195" w:name="fnref141:1"/>
      <w:bookmarkEnd w:id="195"/>
      <w:hyperlink w:anchor="fn141">
        <w:r>
          <w:rPr>
            <w:rFonts w:eastAsia="inter" w:cs="inter" w:ascii="inter" w:hAnsi="inter"/>
            <w:color w:val="#000"/>
            <w:u w:val="single"/>
            <w:vertAlign w:val="superscript"/>
          </w:rPr>
          <w:t xml:space="preserve">[141]</w:t>
        </w:r>
      </w:hyperlink>
      <w:bookmarkStart w:id="196" w:name="fnref140:1"/>
      <w:bookmarkEnd w:id="196"/>
      <w:hyperlink w:anchor="fn140">
        <w:r>
          <w:rPr>
            <w:rFonts w:eastAsia="inter" w:cs="inter" w:ascii="inter" w:hAnsi="inter"/>
            <w:color w:val="#000"/>
            <w:u w:val="single"/>
            <w:vertAlign w:val="superscript"/>
          </w:rPr>
          <w:t xml:space="preserve">[140]</w:t>
        </w:r>
      </w:hyperlink>
      <w:bookmarkStart w:id="197" w:name="fnref138:5"/>
      <w:bookmarkEnd w:id="197"/>
      <w:hyperlink w:anchor="fn138">
        <w:r>
          <w:rPr>
            <w:rFonts w:eastAsia="inter" w:cs="inter" w:ascii="inter" w:hAnsi="inter"/>
            <w:color w:val="#000"/>
            <w:u w:val="single"/>
            <w:vertAlign w:val="superscript"/>
          </w:rPr>
          <w:t xml:space="preserve">[138]</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do I log disclosures involving third‑party business associates</w:t>
      </w:r>
    </w:p>
    <w:p>
      <w:pPr>
        <w:spacing w:line="360" w:after="210" w:lineRule="auto"/>
      </w:pPr>
      <w:r>
        <w:rPr>
          <w:rFonts w:eastAsia="inter" w:cs="inter" w:ascii="inter" w:hAnsi="inter"/>
          <w:color w:val="000000"/>
        </w:rPr>
        <w:t xml:space="preserve">To log disclosures involving third-party business associates effectively, it is essential to maintain a comprehensive, transparent record that demonstrates compliance, accountability, and control over protected information shared.</w:t>
      </w:r>
    </w:p>
    <w:p>
      <w:pPr>
        <w:spacing w:line="360" w:before="315" w:after="105" w:lineRule="auto"/>
        <w:ind w:left="-30"/>
        <w:jc w:val="left"/>
      </w:pPr>
      <w:r>
        <w:rPr>
          <w:rFonts w:eastAsia="inter" w:cs="inter" w:ascii="inter" w:hAnsi="inter"/>
          <w:b/>
          <w:color w:val="000000"/>
          <w:sz w:val="24"/>
        </w:rPr>
        <w:t xml:space="preserve">How to Log Disclosures Involving Third-Party Business Associates</w:t>
      </w:r>
    </w:p>
    <w:p>
      <w:pPr>
        <w:numPr>
          <w:ilvl w:val="0"/>
          <w:numId w:val="22"/>
        </w:numPr>
        <w:spacing w:line="360" w:after="210" w:lineRule="auto"/>
      </w:pPr>
      <w:r>
        <w:rPr>
          <w:rFonts w:eastAsia="inter" w:cs="inter" w:ascii="inter" w:hAnsi="inter"/>
          <w:b/>
          <w:color w:val="000000"/>
          <w:sz w:val="21"/>
        </w:rPr>
        <w:t xml:space="preserve">Record Details of the Disclosure</w:t>
      </w:r>
      <w:r>
        <w:rPr>
          <w:rFonts w:eastAsia="inter" w:cs="inter" w:ascii="inter" w:hAnsi="inter"/>
          <w:color w:val="000000"/>
          <w:sz w:val="21"/>
        </w:rPr>
        <w:br w:type="textWrapping"/>
      </w:r>
      <w:r>
        <w:rPr>
          <w:rFonts w:eastAsia="inter" w:cs="inter" w:ascii="inter" w:hAnsi="inter"/>
          <w:color w:val="000000"/>
          <w:sz w:val="21"/>
        </w:rPr>
        <w:t xml:space="preserve">Log the date, time, and nature of the information disclosed (e.g., type of protected information, extent of disclosure). Include the purpose of the disclosure and the specific task or service the business associate is performing on behalf of rÆ.</w:t>
      </w:r>
      <w:bookmarkStart w:id="198" w:name="fnref148"/>
      <w:bookmarkEnd w:id="198"/>
      <w:hyperlink w:anchor="fn148">
        <w:r>
          <w:rPr>
            <w:rFonts w:eastAsia="inter" w:cs="inter" w:ascii="inter" w:hAnsi="inter"/>
            <w:color w:val="#000"/>
            <w:sz w:val="21"/>
            <w:u w:val="single"/>
            <w:vertAlign w:val="superscript"/>
          </w:rPr>
          <w:t xml:space="preserve">[148]</w:t>
        </w:r>
      </w:hyperlink>
      <w:bookmarkStart w:id="199" w:name="fnref149"/>
      <w:bookmarkEnd w:id="199"/>
      <w:hyperlink w:anchor="fn149">
        <w:r>
          <w:rPr>
            <w:rFonts w:eastAsia="inter" w:cs="inter" w:ascii="inter" w:hAnsi="inter"/>
            <w:color w:val="#000"/>
            <w:sz w:val="21"/>
            <w:u w:val="single"/>
            <w:vertAlign w:val="superscript"/>
          </w:rPr>
          <w:t xml:space="preserve">[149]</w:t>
        </w:r>
      </w:hyperlink>
    </w:p>
    <w:p>
      <w:pPr>
        <w:numPr>
          <w:ilvl w:val="0"/>
          <w:numId w:val="22"/>
        </w:numPr>
        <w:spacing w:line="360" w:after="210" w:lineRule="auto"/>
      </w:pPr>
      <w:r>
        <w:rPr>
          <w:rFonts w:eastAsia="inter" w:cs="inter" w:ascii="inter" w:hAnsi="inter"/>
          <w:b/>
          <w:color w:val="000000"/>
          <w:sz w:val="21"/>
        </w:rPr>
        <w:t xml:space="preserve">Identify the Recipient Business Associate</w:t>
      </w:r>
      <w:r>
        <w:rPr>
          <w:rFonts w:eastAsia="inter" w:cs="inter" w:ascii="inter" w:hAnsi="inter"/>
          <w:color w:val="000000"/>
          <w:sz w:val="21"/>
        </w:rPr>
        <w:br w:type="textWrapping"/>
      </w:r>
      <w:r>
        <w:rPr>
          <w:rFonts w:eastAsia="inter" w:cs="inter" w:ascii="inter" w:hAnsi="inter"/>
          <w:color w:val="000000"/>
          <w:sz w:val="21"/>
        </w:rPr>
        <w:t xml:space="preserve">Document the full legal name, address, and contact details of the business associate. Confirm that a current Business Associate Agreement (BAA) is in place specifying permitted uses and disclosure restrictions.</w:t>
      </w:r>
      <w:bookmarkStart w:id="200" w:name="fnref150"/>
      <w:bookmarkEnd w:id="200"/>
      <w:hyperlink w:anchor="fn150">
        <w:r>
          <w:rPr>
            <w:rFonts w:eastAsia="inter" w:cs="inter" w:ascii="inter" w:hAnsi="inter"/>
            <w:color w:val="#000"/>
            <w:sz w:val="21"/>
            <w:u w:val="single"/>
            <w:vertAlign w:val="superscript"/>
          </w:rPr>
          <w:t xml:space="preserve">[150]</w:t>
        </w:r>
      </w:hyperlink>
      <w:bookmarkStart w:id="201" w:name="fnref149:1"/>
      <w:bookmarkEnd w:id="201"/>
      <w:hyperlink w:anchor="fn149">
        <w:r>
          <w:rPr>
            <w:rFonts w:eastAsia="inter" w:cs="inter" w:ascii="inter" w:hAnsi="inter"/>
            <w:color w:val="#000"/>
            <w:sz w:val="21"/>
            <w:u w:val="single"/>
            <w:vertAlign w:val="superscript"/>
          </w:rPr>
          <w:t xml:space="preserve">[149]</w:t>
        </w:r>
      </w:hyperlink>
      <w:bookmarkStart w:id="202" w:name="fnref148:1"/>
      <w:bookmarkEnd w:id="202"/>
      <w:hyperlink w:anchor="fn148">
        <w:r>
          <w:rPr>
            <w:rFonts w:eastAsia="inter" w:cs="inter" w:ascii="inter" w:hAnsi="inter"/>
            <w:color w:val="#000"/>
            <w:sz w:val="21"/>
            <w:u w:val="single"/>
            <w:vertAlign w:val="superscript"/>
          </w:rPr>
          <w:t xml:space="preserve">[148]</w:t>
        </w:r>
      </w:hyperlink>
    </w:p>
    <w:p>
      <w:pPr>
        <w:numPr>
          <w:ilvl w:val="0"/>
          <w:numId w:val="22"/>
        </w:numPr>
        <w:spacing w:line="360" w:after="210" w:lineRule="auto"/>
      </w:pPr>
      <w:r>
        <w:rPr>
          <w:rFonts w:eastAsia="inter" w:cs="inter" w:ascii="inter" w:hAnsi="inter"/>
          <w:b/>
          <w:color w:val="000000"/>
          <w:sz w:val="21"/>
        </w:rPr>
        <w:t xml:space="preserve">Authorization and Legal Basis</w:t>
      </w:r>
      <w:r>
        <w:rPr>
          <w:rFonts w:eastAsia="inter" w:cs="inter" w:ascii="inter" w:hAnsi="inter"/>
          <w:color w:val="000000"/>
          <w:sz w:val="21"/>
        </w:rPr>
        <w:br w:type="textWrapping"/>
      </w:r>
      <w:r>
        <w:rPr>
          <w:rFonts w:eastAsia="inter" w:cs="inter" w:ascii="inter" w:hAnsi="inter"/>
          <w:color w:val="000000"/>
          <w:sz w:val="21"/>
        </w:rPr>
        <w:t xml:space="preserve">Capture and store copies of the authorization or documented legal basis under which the disclosure was made (e.g., contract clauses, regulatory requirements, or patient consent where applicable).</w:t>
      </w:r>
      <w:bookmarkStart w:id="203" w:name="fnref151"/>
      <w:bookmarkEnd w:id="203"/>
      <w:hyperlink w:anchor="fn151">
        <w:r>
          <w:rPr>
            <w:rFonts w:eastAsia="inter" w:cs="inter" w:ascii="inter" w:hAnsi="inter"/>
            <w:color w:val="#000"/>
            <w:sz w:val="21"/>
            <w:u w:val="single"/>
            <w:vertAlign w:val="superscript"/>
          </w:rPr>
          <w:t xml:space="preserve">[151]</w:t>
        </w:r>
      </w:hyperlink>
      <w:bookmarkStart w:id="204" w:name="fnref148:2"/>
      <w:bookmarkEnd w:id="204"/>
      <w:hyperlink w:anchor="fn148">
        <w:r>
          <w:rPr>
            <w:rFonts w:eastAsia="inter" w:cs="inter" w:ascii="inter" w:hAnsi="inter"/>
            <w:color w:val="#000"/>
            <w:sz w:val="21"/>
            <w:u w:val="single"/>
            <w:vertAlign w:val="superscript"/>
          </w:rPr>
          <w:t xml:space="preserve">[148]</w:t>
        </w:r>
      </w:hyperlink>
    </w:p>
    <w:p>
      <w:pPr>
        <w:numPr>
          <w:ilvl w:val="0"/>
          <w:numId w:val="22"/>
        </w:numPr>
        <w:spacing w:line="360" w:after="210" w:lineRule="auto"/>
      </w:pPr>
      <w:r>
        <w:rPr>
          <w:rFonts w:eastAsia="inter" w:cs="inter" w:ascii="inter" w:hAnsi="inter"/>
          <w:b/>
          <w:color w:val="000000"/>
          <w:sz w:val="21"/>
        </w:rPr>
        <w:t xml:space="preserve">Confidentiality Assurances</w:t>
      </w:r>
      <w:r>
        <w:rPr>
          <w:rFonts w:eastAsia="inter" w:cs="inter" w:ascii="inter" w:hAnsi="inter"/>
          <w:color w:val="000000"/>
          <w:sz w:val="21"/>
        </w:rPr>
        <w:br w:type="textWrapping"/>
      </w:r>
      <w:r>
        <w:rPr>
          <w:rFonts w:eastAsia="inter" w:cs="inter" w:ascii="inter" w:hAnsi="inter"/>
          <w:color w:val="000000"/>
          <w:sz w:val="21"/>
        </w:rPr>
        <w:t xml:space="preserve">Note assurances provided by the business associate regarding confidentiality, use limitations, and breach notification obligations.</w:t>
      </w:r>
      <w:bookmarkStart w:id="205" w:name="fnref148:3"/>
      <w:bookmarkEnd w:id="205"/>
      <w:hyperlink w:anchor="fn148">
        <w:r>
          <w:rPr>
            <w:rFonts w:eastAsia="inter" w:cs="inter" w:ascii="inter" w:hAnsi="inter"/>
            <w:color w:val="#000"/>
            <w:sz w:val="21"/>
            <w:u w:val="single"/>
            <w:vertAlign w:val="superscript"/>
          </w:rPr>
          <w:t xml:space="preserve">[148]</w:t>
        </w:r>
      </w:hyperlink>
      <w:bookmarkStart w:id="206" w:name="fnref150:1"/>
      <w:bookmarkEnd w:id="206"/>
      <w:hyperlink w:anchor="fn150">
        <w:r>
          <w:rPr>
            <w:rFonts w:eastAsia="inter" w:cs="inter" w:ascii="inter" w:hAnsi="inter"/>
            <w:color w:val="#000"/>
            <w:sz w:val="21"/>
            <w:u w:val="single"/>
            <w:vertAlign w:val="superscript"/>
          </w:rPr>
          <w:t xml:space="preserve">[150]</w:t>
        </w:r>
      </w:hyperlink>
    </w:p>
    <w:p>
      <w:pPr>
        <w:numPr>
          <w:ilvl w:val="0"/>
          <w:numId w:val="22"/>
        </w:numPr>
        <w:spacing w:line="360" w:after="210" w:lineRule="auto"/>
      </w:pPr>
      <w:r>
        <w:rPr>
          <w:rFonts w:eastAsia="inter" w:cs="inter" w:ascii="inter" w:hAnsi="inter"/>
          <w:b/>
          <w:color w:val="000000"/>
          <w:sz w:val="21"/>
        </w:rPr>
        <w:t xml:space="preserve">Tracking Responsibilities</w:t>
      </w:r>
      <w:r>
        <w:rPr>
          <w:rFonts w:eastAsia="inter" w:cs="inter" w:ascii="inter" w:hAnsi="inter"/>
          <w:color w:val="000000"/>
          <w:sz w:val="21"/>
        </w:rPr>
        <w:br w:type="textWrapping"/>
      </w:r>
      <w:r>
        <w:rPr>
          <w:rFonts w:eastAsia="inter" w:cs="inter" w:ascii="inter" w:hAnsi="inter"/>
          <w:color w:val="000000"/>
          <w:sz w:val="21"/>
        </w:rPr>
        <w:t xml:space="preserve">Record who within rÆ authorized and performed the disclosure and maintain audit trails for internal accountability.</w:t>
      </w:r>
      <w:bookmarkStart w:id="207" w:name="fnref148:4"/>
      <w:bookmarkEnd w:id="207"/>
      <w:hyperlink w:anchor="fn148">
        <w:r>
          <w:rPr>
            <w:rFonts w:eastAsia="inter" w:cs="inter" w:ascii="inter" w:hAnsi="inter"/>
            <w:color w:val="#000"/>
            <w:sz w:val="21"/>
            <w:u w:val="single"/>
            <w:vertAlign w:val="superscript"/>
          </w:rPr>
          <w:t xml:space="preserve">[148]</w:t>
        </w:r>
      </w:hyperlink>
    </w:p>
    <w:p>
      <w:pPr>
        <w:numPr>
          <w:ilvl w:val="0"/>
          <w:numId w:val="22"/>
        </w:numPr>
        <w:spacing w:line="360" w:after="210" w:lineRule="auto"/>
      </w:pPr>
      <w:r>
        <w:rPr>
          <w:rFonts w:eastAsia="inter" w:cs="inter" w:ascii="inter" w:hAnsi="inter"/>
          <w:b/>
          <w:color w:val="000000"/>
          <w:sz w:val="21"/>
        </w:rPr>
        <w:t xml:space="preserve">Incident Reporting</w:t>
      </w:r>
      <w:r>
        <w:rPr>
          <w:rFonts w:eastAsia="inter" w:cs="inter" w:ascii="inter" w:hAnsi="inter"/>
          <w:color w:val="000000"/>
          <w:sz w:val="21"/>
        </w:rPr>
        <w:br w:type="textWrapping"/>
      </w:r>
      <w:r>
        <w:rPr>
          <w:rFonts w:eastAsia="inter" w:cs="inter" w:ascii="inter" w:hAnsi="inter"/>
          <w:color w:val="000000"/>
          <w:sz w:val="21"/>
        </w:rPr>
        <w:t xml:space="preserve">Include procedures and logs for reporting and addressing any incidents or breaches involving business associates as required under HIPAA or applicable laws.</w:t>
      </w:r>
      <w:bookmarkStart w:id="208" w:name="fnref150:2"/>
      <w:bookmarkEnd w:id="208"/>
      <w:hyperlink w:anchor="fn150">
        <w:r>
          <w:rPr>
            <w:rFonts w:eastAsia="inter" w:cs="inter" w:ascii="inter" w:hAnsi="inter"/>
            <w:color w:val="#000"/>
            <w:sz w:val="21"/>
            <w:u w:val="single"/>
            <w:vertAlign w:val="superscript"/>
          </w:rPr>
          <w:t xml:space="preserve">[150]</w:t>
        </w:r>
      </w:hyperlink>
      <w:bookmarkStart w:id="209" w:name="fnref148:5"/>
      <w:bookmarkEnd w:id="209"/>
      <w:hyperlink w:anchor="fn148">
        <w:r>
          <w:rPr>
            <w:rFonts w:eastAsia="inter" w:cs="inter" w:ascii="inter" w:hAnsi="inter"/>
            <w:color w:val="#000"/>
            <w:sz w:val="21"/>
            <w:u w:val="single"/>
            <w:vertAlign w:val="superscript"/>
          </w:rPr>
          <w:t xml:space="preserve">[148]</w:t>
        </w:r>
      </w:hyperlink>
    </w:p>
    <w:p>
      <w:pPr>
        <w:spacing w:line="360" w:after="210" w:lineRule="auto"/>
      </w:pPr>
      <w:r>
        <w:rPr>
          <w:rFonts w:eastAsia="inter" w:cs="inter" w:ascii="inter" w:hAnsi="inter"/>
          <w:color w:val="000000"/>
        </w:rPr>
        <w:t xml:space="preserve">Donna’s take: Logging disclosures to third-party associates isn’t just paperwork—it’s the dotted line that keeps the whole trust contract tight and the dance floor clean. Show who, what, why, and that you checked the legal boxes—boom, done.</w:t>
      </w:r>
    </w:p>
    <w:p>
      <w:pPr>
        <w:spacing w:line="360" w:after="210" w:lineRule="auto"/>
      </w:pPr>
      <w:r>
        <w:rPr>
          <w:rFonts w:eastAsia="inter" w:cs="inter" w:ascii="inter" w:hAnsi="inter"/>
          <w:color w:val="000000"/>
        </w:rPr>
        <w:t xml:space="preserve">This detailed, legally sound logging ensures rÆ meets regulatory expectations while maintaining control over sensitive information flow.</w:t>
      </w:r>
      <w:bookmarkStart w:id="210" w:name="fnref149:2"/>
      <w:bookmarkEnd w:id="210"/>
      <w:hyperlink w:anchor="fn149">
        <w:r>
          <w:rPr>
            <w:rFonts w:eastAsia="inter" w:cs="inter" w:ascii="inter" w:hAnsi="inter"/>
            <w:color w:val="#000"/>
            <w:u w:val="single"/>
            <w:vertAlign w:val="superscript"/>
          </w:rPr>
          <w:t xml:space="preserve">[149]</w:t>
        </w:r>
      </w:hyperlink>
      <w:bookmarkStart w:id="211" w:name="fnref151:1"/>
      <w:bookmarkEnd w:id="211"/>
      <w:hyperlink w:anchor="fn151">
        <w:r>
          <w:rPr>
            <w:rFonts w:eastAsia="inter" w:cs="inter" w:ascii="inter" w:hAnsi="inter"/>
            <w:color w:val="#000"/>
            <w:u w:val="single"/>
            <w:vertAlign w:val="superscript"/>
          </w:rPr>
          <w:t xml:space="preserve">[151]</w:t>
        </w:r>
      </w:hyperlink>
      <w:bookmarkStart w:id="212" w:name="fnref150:3"/>
      <w:bookmarkEnd w:id="212"/>
      <w:hyperlink w:anchor="fn150">
        <w:r>
          <w:rPr>
            <w:rFonts w:eastAsia="inter" w:cs="inter" w:ascii="inter" w:hAnsi="inter"/>
            <w:color w:val="#000"/>
            <w:u w:val="single"/>
            <w:vertAlign w:val="superscript"/>
          </w:rPr>
          <w:t xml:space="preserve">[150]</w:t>
        </w:r>
      </w:hyperlink>
      <w:bookmarkStart w:id="213" w:name="fnref148:6"/>
      <w:bookmarkEnd w:id="213"/>
      <w:hyperlink w:anchor="fn148">
        <w:r>
          <w:rPr>
            <w:rFonts w:eastAsia="inter" w:cs="inter" w:ascii="inter" w:hAnsi="inter"/>
            <w:color w:val="#000"/>
            <w:u w:val="single"/>
            <w:vertAlign w:val="superscript"/>
          </w:rPr>
          <w:t xml:space="preserve">[148]</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Which disclosures to business associates must I include in the accounting of disclosures</w:t>
      </w:r>
    </w:p>
    <w:p>
      <w:pPr>
        <w:spacing w:line="360" w:after="210" w:lineRule="auto"/>
      </w:pPr>
      <w:r>
        <w:rPr>
          <w:rFonts w:eastAsia="inter" w:cs="inter" w:ascii="inter" w:hAnsi="inter"/>
          <w:color w:val="000000"/>
        </w:rPr>
        <w:t xml:space="preserve">Under HIPAA regulations, disclosures of protected health information (PHI) to business associates must generally be included in the accounting of disclosures provided to individuals upon request. However, certain disclosures are exempt from accounting.</w:t>
      </w:r>
    </w:p>
    <w:p>
      <w:pPr>
        <w:spacing w:line="360" w:before="315" w:after="105" w:lineRule="auto"/>
        <w:ind w:left="-30"/>
        <w:jc w:val="left"/>
      </w:pPr>
      <w:r>
        <w:rPr>
          <w:rFonts w:eastAsia="inter" w:cs="inter" w:ascii="inter" w:hAnsi="inter"/>
          <w:b/>
          <w:color w:val="000000"/>
          <w:sz w:val="24"/>
        </w:rPr>
        <w:t xml:space="preserve">Which Disclosures to Business Associates Must Be Included</w:t>
      </w:r>
    </w:p>
    <w:p>
      <w:pPr>
        <w:numPr>
          <w:ilvl w:val="0"/>
          <w:numId w:val="23"/>
        </w:numPr>
        <w:spacing w:line="360" w:after="210" w:lineRule="auto"/>
      </w:pPr>
      <w:r>
        <w:rPr>
          <w:rFonts w:eastAsia="inter" w:cs="inter" w:ascii="inter" w:hAnsi="inter"/>
          <w:color w:val="000000"/>
          <w:sz w:val="21"/>
        </w:rPr>
        <w:t xml:space="preserve">Disclosures of PHI made to business associates (or by business associates on behalf of the covered entity) for purposes other than treatment, payment, or healthcare operations must be included in the accounting of disclosures.</w:t>
      </w:r>
      <w:bookmarkStart w:id="214" w:name="fnref158"/>
      <w:bookmarkEnd w:id="214"/>
      <w:hyperlink w:anchor="fn158">
        <w:r>
          <w:rPr>
            <w:rFonts w:eastAsia="inter" w:cs="inter" w:ascii="inter" w:hAnsi="inter"/>
            <w:color w:val="#000"/>
            <w:sz w:val="21"/>
            <w:u w:val="single"/>
            <w:vertAlign w:val="superscript"/>
          </w:rPr>
          <w:t xml:space="preserve">[158]</w:t>
        </w:r>
      </w:hyperlink>
      <w:bookmarkStart w:id="215" w:name="fnref159"/>
      <w:bookmarkEnd w:id="215"/>
      <w:hyperlink w:anchor="fn159">
        <w:r>
          <w:rPr>
            <w:rFonts w:eastAsia="inter" w:cs="inter" w:ascii="inter" w:hAnsi="inter"/>
            <w:color w:val="#000"/>
            <w:sz w:val="21"/>
            <w:u w:val="single"/>
            <w:vertAlign w:val="superscript"/>
          </w:rPr>
          <w:t xml:space="preserve">[159]</w:t>
        </w:r>
      </w:hyperlink>
      <w:bookmarkStart w:id="216" w:name="fnref160"/>
      <w:bookmarkEnd w:id="216"/>
      <w:hyperlink w:anchor="fn160">
        <w:r>
          <w:rPr>
            <w:rFonts w:eastAsia="inter" w:cs="inter" w:ascii="inter" w:hAnsi="inter"/>
            <w:color w:val="#000"/>
            <w:sz w:val="21"/>
            <w:u w:val="single"/>
            <w:vertAlign w:val="superscript"/>
          </w:rPr>
          <w:t xml:space="preserve">[160]</w:t>
        </w:r>
      </w:hyperlink>
    </w:p>
    <w:p>
      <w:pPr>
        <w:numPr>
          <w:ilvl w:val="0"/>
          <w:numId w:val="23"/>
        </w:numPr>
        <w:spacing w:line="360" w:after="210" w:lineRule="auto"/>
      </w:pPr>
      <w:r>
        <w:rPr>
          <w:rFonts w:eastAsia="inter" w:cs="inter" w:ascii="inter" w:hAnsi="inter"/>
          <w:color w:val="000000"/>
          <w:sz w:val="21"/>
        </w:rPr>
        <w:t xml:space="preserve">Disclosures made pursuant to written authorization or as required by law that are not part of routine health care operations need to be accounted for, including those involving business associates.</w:t>
      </w:r>
      <w:bookmarkStart w:id="217" w:name="fnref159:1"/>
      <w:bookmarkEnd w:id="217"/>
      <w:hyperlink w:anchor="fn159">
        <w:r>
          <w:rPr>
            <w:rFonts w:eastAsia="inter" w:cs="inter" w:ascii="inter" w:hAnsi="inter"/>
            <w:color w:val="#000"/>
            <w:sz w:val="21"/>
            <w:u w:val="single"/>
            <w:vertAlign w:val="superscript"/>
          </w:rPr>
          <w:t xml:space="preserve">[159]</w:t>
        </w:r>
      </w:hyperlink>
      <w:bookmarkStart w:id="218" w:name="fnref158:1"/>
      <w:bookmarkEnd w:id="218"/>
      <w:hyperlink w:anchor="fn158">
        <w:r>
          <w:rPr>
            <w:rFonts w:eastAsia="inter" w:cs="inter" w:ascii="inter" w:hAnsi="inter"/>
            <w:color w:val="#000"/>
            <w:sz w:val="21"/>
            <w:u w:val="single"/>
            <w:vertAlign w:val="superscript"/>
          </w:rPr>
          <w:t xml:space="preserve">[158]</w:t>
        </w:r>
      </w:hyperlink>
    </w:p>
    <w:p>
      <w:pPr>
        <w:numPr>
          <w:ilvl w:val="0"/>
          <w:numId w:val="23"/>
        </w:numPr>
        <w:spacing w:line="360" w:after="210" w:lineRule="auto"/>
      </w:pPr>
      <w:r>
        <w:rPr>
          <w:rFonts w:eastAsia="inter" w:cs="inter" w:ascii="inter" w:hAnsi="inter"/>
          <w:color w:val="000000"/>
          <w:sz w:val="21"/>
        </w:rPr>
        <w:t xml:space="preserve">Disclosures for treatment, payment, or healthcare operations purposes are exempt from accounting and thus typically do not need to be included, even if made to a business associate.</w:t>
      </w:r>
      <w:bookmarkStart w:id="219" w:name="fnref158:2"/>
      <w:bookmarkEnd w:id="219"/>
      <w:hyperlink w:anchor="fn158">
        <w:r>
          <w:rPr>
            <w:rFonts w:eastAsia="inter" w:cs="inter" w:ascii="inter" w:hAnsi="inter"/>
            <w:color w:val="#000"/>
            <w:sz w:val="21"/>
            <w:u w:val="single"/>
            <w:vertAlign w:val="superscript"/>
          </w:rPr>
          <w:t xml:space="preserve">[158]</w:t>
        </w:r>
      </w:hyperlink>
      <w:bookmarkStart w:id="220" w:name="fnref159:2"/>
      <w:bookmarkEnd w:id="220"/>
      <w:hyperlink w:anchor="fn159">
        <w:r>
          <w:rPr>
            <w:rFonts w:eastAsia="inter" w:cs="inter" w:ascii="inter" w:hAnsi="inter"/>
            <w:color w:val="#000"/>
            <w:sz w:val="21"/>
            <w:u w:val="single"/>
            <w:vertAlign w:val="superscript"/>
          </w:rPr>
          <w:t xml:space="preserve">[159]</w:t>
        </w:r>
      </w:hyperlink>
    </w:p>
    <w:p>
      <w:pPr>
        <w:numPr>
          <w:ilvl w:val="0"/>
          <w:numId w:val="23"/>
        </w:numPr>
        <w:spacing w:line="360" w:after="210" w:lineRule="auto"/>
      </w:pPr>
      <w:r>
        <w:rPr>
          <w:rFonts w:eastAsia="inter" w:cs="inter" w:ascii="inter" w:hAnsi="inter"/>
          <w:color w:val="000000"/>
          <w:sz w:val="21"/>
        </w:rPr>
        <w:t xml:space="preserve">Impermissible disclosures and breaches attributable to business associates are not included in the accounting, as they are instead addressed through breach notification rules.</w:t>
      </w:r>
      <w:bookmarkStart w:id="221" w:name="fnref158:3"/>
      <w:bookmarkEnd w:id="221"/>
      <w:hyperlink w:anchor="fn158">
        <w:r>
          <w:rPr>
            <w:rFonts w:eastAsia="inter" w:cs="inter" w:ascii="inter" w:hAnsi="inter"/>
            <w:color w:val="#000"/>
            <w:sz w:val="21"/>
            <w:u w:val="single"/>
            <w:vertAlign w:val="superscript"/>
          </w:rPr>
          <w:t xml:space="preserve">[158]</w:t>
        </w:r>
      </w:hyperlink>
    </w:p>
    <w:p>
      <w:pPr>
        <w:spacing w:line="360" w:after="210" w:lineRule="auto"/>
      </w:pPr>
      <w:r>
        <w:rPr>
          <w:rFonts w:eastAsia="inter" w:cs="inter" w:ascii="inter" w:hAnsi="inter"/>
          <w:color w:val="000000"/>
        </w:rPr>
        <w:t xml:space="preserve">In summary, disclosures to business associates that fall outside the routine purposes of treatment, payment, or healthcare operations are included in the accounting of disclosures, ensuring individuals can track such uses of their PHI. Business associates must cooperate with covered entities to facilitate accurate accounting records, but the covered entity bears ultimate responsibility for providing the accounting to individuals.</w:t>
      </w:r>
      <w:bookmarkStart w:id="222" w:name="fnref161"/>
      <w:bookmarkEnd w:id="222"/>
      <w:hyperlink w:anchor="fn161">
        <w:r>
          <w:rPr>
            <w:rFonts w:eastAsia="inter" w:cs="inter" w:ascii="inter" w:hAnsi="inter"/>
            <w:color w:val="#000"/>
            <w:u w:val="single"/>
            <w:vertAlign w:val="superscript"/>
          </w:rPr>
          <w:t xml:space="preserve">[161]</w:t>
        </w:r>
      </w:hyperlink>
      <w:bookmarkStart w:id="223" w:name="fnref160:1"/>
      <w:bookmarkEnd w:id="223"/>
      <w:hyperlink w:anchor="fn160">
        <w:r>
          <w:rPr>
            <w:rFonts w:eastAsia="inter" w:cs="inter" w:ascii="inter" w:hAnsi="inter"/>
            <w:color w:val="#000"/>
            <w:u w:val="single"/>
            <w:vertAlign w:val="superscript"/>
          </w:rPr>
          <w:t xml:space="preserve">[160]</w:t>
        </w:r>
      </w:hyperlink>
      <w:bookmarkStart w:id="224" w:name="fnref162"/>
      <w:bookmarkEnd w:id="224"/>
      <w:hyperlink w:anchor="fn162">
        <w:r>
          <w:rPr>
            <w:rFonts w:eastAsia="inter" w:cs="inter" w:ascii="inter" w:hAnsi="inter"/>
            <w:color w:val="#000"/>
            <w:u w:val="single"/>
            <w:vertAlign w:val="superscript"/>
          </w:rPr>
          <w:t xml:space="preserve">[162]</w:t>
        </w:r>
      </w:hyperlink>
      <w:bookmarkStart w:id="225" w:name="fnref158:4"/>
      <w:bookmarkEnd w:id="225"/>
      <w:hyperlink w:anchor="fn158">
        <w:r>
          <w:rPr>
            <w:rFonts w:eastAsia="inter" w:cs="inter" w:ascii="inter" w:hAnsi="inter"/>
            <w:color w:val="#000"/>
            <w:u w:val="single"/>
            <w:vertAlign w:val="superscript"/>
          </w:rPr>
          <w:t xml:space="preserve">[158]</w:t>
        </w:r>
      </w:hyperlink>
    </w:p>
    <w:p>
      <w:pPr>
        <w:spacing w:line="360" w:after="210" w:lineRule="auto"/>
      </w:pPr>
      <w:r>
        <w:rPr>
          <w:rFonts w:eastAsia="inter" w:cs="inter" w:ascii="inter" w:hAnsi="inter"/>
          <w:color w:val="000000"/>
        </w:rPr>
        <w:t xml:space="preserve">Donna would say: If rÆ’s sharing PHI with its business homies for anything but keeping the lights on, write it down for the guest list. Transparency is the name of the game, and regulators want the receipts.</w:t>
      </w:r>
      <w:bookmarkStart w:id="226" w:name="fnref160:2"/>
      <w:bookmarkEnd w:id="226"/>
      <w:hyperlink w:anchor="fn160">
        <w:r>
          <w:rPr>
            <w:rFonts w:eastAsia="inter" w:cs="inter" w:ascii="inter" w:hAnsi="inter"/>
            <w:color w:val="#000"/>
            <w:u w:val="single"/>
            <w:vertAlign w:val="superscript"/>
          </w:rPr>
          <w:t xml:space="preserve">[160]</w:t>
        </w:r>
      </w:hyperlink>
      <w:bookmarkStart w:id="227" w:name="fnref159:3"/>
      <w:bookmarkEnd w:id="227"/>
      <w:hyperlink w:anchor="fn159">
        <w:r>
          <w:rPr>
            <w:rFonts w:eastAsia="inter" w:cs="inter" w:ascii="inter" w:hAnsi="inter"/>
            <w:color w:val="#000"/>
            <w:u w:val="single"/>
            <w:vertAlign w:val="superscript"/>
          </w:rPr>
          <w:t xml:space="preserve">[159]</w:t>
        </w:r>
      </w:hyperlink>
      <w:bookmarkStart w:id="228" w:name="fnref158:5"/>
      <w:bookmarkEnd w:id="228"/>
      <w:hyperlink w:anchor="fn158">
        <w:r>
          <w:rPr>
            <w:rFonts w:eastAsia="inter" w:cs="inter" w:ascii="inter" w:hAnsi="inter"/>
            <w:color w:val="#000"/>
            <w:u w:val="single"/>
            <w:vertAlign w:val="superscript"/>
          </w:rPr>
          <w:t xml:space="preserve">[158]</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should I record disclosures made by BA subcontractors for my accounting</w:t>
      </w:r>
    </w:p>
    <w:p>
      <w:pPr>
        <w:spacing w:line="360" w:after="210" w:lineRule="auto"/>
      </w:pPr>
      <w:r>
        <w:rPr>
          <w:rFonts w:eastAsia="inter" w:cs="inter" w:ascii="inter" w:hAnsi="inter"/>
          <w:color w:val="000000"/>
        </w:rPr>
        <w:t xml:space="preserve">What documentation proves a business associate obtained reasonable assurances</w:t>
      </w:r>
      <w:r>
        <w:rPr>
          <w:rFonts w:eastAsia="inter" w:cs="inter" w:ascii="inter" w:hAnsi="inter"/>
          <w:color w:val="000000"/>
        </w:rPr>
        <w:br w:type="textWrapping"/>
      </w:r>
      <w:r>
        <w:rPr>
          <w:rFonts w:eastAsia="inter" w:cs="inter" w:ascii="inter" w:hAnsi="inter"/>
          <w:color w:val="000000"/>
        </w:rPr>
        <w:t xml:space="preserve">How do I log disclosures required by law that involve a business associate</w:t>
      </w:r>
      <w:r>
        <w:rPr>
          <w:rFonts w:eastAsia="inter" w:cs="inter" w:ascii="inter" w:hAnsi="inter"/>
          <w:color w:val="000000"/>
        </w:rPr>
        <w:br w:type="textWrapping"/>
      </w:r>
      <w:r>
        <w:rPr>
          <w:rFonts w:eastAsia="inter" w:cs="inter" w:ascii="inter" w:hAnsi="inter"/>
          <w:color w:val="000000"/>
        </w:rPr>
        <w:t xml:space="preserve">How should I record mitigation steps when a BA incorrectly disclosed PHI</w:t>
      </w:r>
      <w:r>
        <w:rPr>
          <w:rFonts w:eastAsia="inter" w:cs="inter" w:ascii="inter" w:hAnsi="inter"/>
          <w:color w:val="000000"/>
        </w:rPr>
        <w:br w:type="textWrapping"/>
      </w:r>
      <w:r>
        <w:rPr>
          <w:rFonts w:eastAsia="inter" w:cs="inter" w:ascii="inter" w:hAnsi="inter"/>
          <w:color w:val="000000"/>
        </w:rPr>
        <w:t xml:space="preserve">Which disclosures to business associates are excluded because they’re for TPO</w:t>
      </w:r>
      <w:r>
        <w:rPr>
          <w:rFonts w:eastAsia="inter" w:cs="inter" w:ascii="inter" w:hAnsi="inter"/>
          <w:color w:val="000000"/>
        </w:rPr>
        <w:br w:type="textWrapping"/>
      </w:r>
      <w:r>
        <w:rPr>
          <w:rFonts w:eastAsia="inter" w:cs="inter" w:ascii="inter" w:hAnsi="inter"/>
          <w:color w:val="000000"/>
        </w:rPr>
        <w:t xml:space="preserve">How do I identify BA disclosures that must be included under §164.528</w:t>
      </w:r>
      <w:r>
        <w:rPr>
          <w:rFonts w:eastAsia="inter" w:cs="inter" w:ascii="inter" w:hAnsi="inter"/>
          <w:color w:val="000000"/>
        </w:rPr>
        <w:br w:type="textWrapping"/>
      </w:r>
      <w:r>
        <w:rPr>
          <w:rFonts w:eastAsia="inter" w:cs="inter" w:ascii="inter" w:hAnsi="inter"/>
          <w:color w:val="000000"/>
        </w:rPr>
        <w:t xml:space="preserve">When a BA’s subcontractor disclosed PHI how should I record that disclosure</w:t>
      </w:r>
      <w:r>
        <w:rPr>
          <w:rFonts w:eastAsia="inter" w:cs="inter" w:ascii="inter" w:hAnsi="inter"/>
          <w:color w:val="000000"/>
        </w:rPr>
        <w:br w:type="textWrapping"/>
      </w:r>
      <w:r>
        <w:rPr>
          <w:rFonts w:eastAsia="inter" w:cs="inter" w:ascii="inter" w:hAnsi="inter"/>
          <w:color w:val="000000"/>
        </w:rPr>
        <w:t xml:space="preserve">What documentation from a BA proves I can rely on their disclosure records</w:t>
      </w:r>
      <w:r>
        <w:rPr>
          <w:rFonts w:eastAsia="inter" w:cs="inter" w:ascii="inter" w:hAnsi="inter"/>
          <w:color w:val="000000"/>
        </w:rPr>
        <w:br w:type="textWrapping"/>
      </w:r>
      <w:r>
        <w:rPr>
          <w:rFonts w:eastAsia="inter" w:cs="inter" w:ascii="inter" w:hAnsi="inter"/>
          <w:color w:val="000000"/>
        </w:rPr>
        <w:t xml:space="preserve">How do I account for BA disclosures required by law or public health reporting</w:t>
      </w:r>
    </w:p>
    <w:p>
      <w:pPr>
        <w:spacing w:line="360" w:after="210" w:lineRule="auto"/>
      </w:pPr>
      <w:r>
        <w:rPr>
          <w:rFonts w:eastAsia="inter" w:cs="inter" w:ascii="inter" w:hAnsi="inter"/>
          <w:color w:val="000000"/>
        </w:rPr>
        <w:t xml:space="preserve">Here is a detailed breakdown addressing each question concerning disclosures involving Business Associates (BAs) and their subcontractors under HIPAA rules relevant for rÆ’s accounting and documentation: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should I record disclosures made by BA subcontractors for my accounting?</w:t>
      </w:r>
    </w:p>
    <w:p>
      <w:pPr>
        <w:spacing w:line="360" w:after="210" w:lineRule="auto"/>
      </w:pPr>
      <w:r>
        <w:rPr>
          <w:rFonts w:eastAsia="inter" w:cs="inter" w:ascii="inter" w:hAnsi="inter"/>
          <w:color w:val="000000"/>
        </w:rPr>
        <w:t xml:space="preserve">Disclosures made by BA subcontractors must be recorded in the same way as those made by the business associate itself, capturing date, nature of disclosure, recipient details, purpose, and basis for disclosure. The subcontractor’s disclosures should be documented by the BA and communicated to the covered entity to ensure comprehensive accounting.</w:t>
      </w:r>
      <w:bookmarkStart w:id="229" w:name="fnref167"/>
      <w:bookmarkEnd w:id="229"/>
      <w:hyperlink w:anchor="fn167">
        <w:r>
          <w:rPr>
            <w:rFonts w:eastAsia="inter" w:cs="inter" w:ascii="inter" w:hAnsi="inter"/>
            <w:color w:val="#000"/>
            <w:u w:val="single"/>
            <w:vertAlign w:val="superscript"/>
          </w:rPr>
          <w:t xml:space="preserve">[167]</w:t>
        </w:r>
      </w:hyperlink>
      <w:bookmarkStart w:id="230" w:name="fnref168"/>
      <w:bookmarkEnd w:id="230"/>
      <w:hyperlink w:anchor="fn168">
        <w:r>
          <w:rPr>
            <w:rFonts w:eastAsia="inter" w:cs="inter" w:ascii="inter" w:hAnsi="inter"/>
            <w:color w:val="#000"/>
            <w:u w:val="single"/>
            <w:vertAlign w:val="superscript"/>
          </w:rPr>
          <w:t xml:space="preserve">[168]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What documentation proves a BA obtained reasonable assurances?</w:t>
      </w:r>
    </w:p>
    <w:p>
      <w:pPr>
        <w:spacing w:line="360" w:after="210" w:lineRule="auto"/>
      </w:pPr>
      <w:r>
        <w:rPr>
          <w:rFonts w:eastAsia="inter" w:cs="inter" w:ascii="inter" w:hAnsi="inter"/>
          <w:color w:val="000000"/>
        </w:rPr>
        <w:t xml:space="preserve">A written Business Associate Agreement (BAA) or subcontractor BAA containing clauses that the subcontractor will safeguard PHI under the same restrictions, report breaches, and comply with HIPAA requirements proves reasonable assurances have been obtained. It should include commitments about permissible use, disclosure limitations, breach notification, and recordkeeping.</w:t>
      </w:r>
      <w:bookmarkStart w:id="231" w:name="fnref169"/>
      <w:bookmarkEnd w:id="231"/>
      <w:hyperlink w:anchor="fn169">
        <w:r>
          <w:rPr>
            <w:rFonts w:eastAsia="inter" w:cs="inter" w:ascii="inter" w:hAnsi="inter"/>
            <w:color w:val="#000"/>
            <w:u w:val="single"/>
            <w:vertAlign w:val="superscript"/>
          </w:rPr>
          <w:t xml:space="preserve">[169]</w:t>
        </w:r>
      </w:hyperlink>
      <w:bookmarkStart w:id="232" w:name="fnref170"/>
      <w:bookmarkEnd w:id="232"/>
      <w:hyperlink w:anchor="fn170">
        <w:r>
          <w:rPr>
            <w:rFonts w:eastAsia="inter" w:cs="inter" w:ascii="inter" w:hAnsi="inter"/>
            <w:color w:val="#000"/>
            <w:u w:val="single"/>
            <w:vertAlign w:val="superscript"/>
          </w:rPr>
          <w:t xml:space="preserve">[170]</w:t>
        </w:r>
      </w:hyperlink>
      <w:bookmarkStart w:id="233" w:name="fnref167:1"/>
      <w:bookmarkEnd w:id="233"/>
      <w:hyperlink w:anchor="fn167">
        <w:r>
          <w:rPr>
            <w:rFonts w:eastAsia="inter" w:cs="inter" w:ascii="inter" w:hAnsi="inter"/>
            <w:color w:val="#000"/>
            <w:u w:val="single"/>
            <w:vertAlign w:val="superscript"/>
          </w:rPr>
          <w:t xml:space="preserve">[167]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do I log disclosures required by law that involve a BA?</w:t>
      </w:r>
    </w:p>
    <w:p>
      <w:pPr>
        <w:spacing w:line="360" w:after="210" w:lineRule="auto"/>
      </w:pPr>
      <w:r>
        <w:rPr>
          <w:rFonts w:eastAsia="inter" w:cs="inter" w:ascii="inter" w:hAnsi="inter"/>
          <w:color w:val="000000"/>
        </w:rPr>
        <w:t xml:space="preserve">Log all disclosures required by law, including date, recipient, nature, and legal authority compelling the disclosure. Note that some law-mandated disclosures are exempt from individual accounting but must still be documented internally for compliance and auditing.</w:t>
      </w:r>
      <w:bookmarkStart w:id="234" w:name="fnref171"/>
      <w:bookmarkEnd w:id="234"/>
      <w:hyperlink w:anchor="fn171">
        <w:r>
          <w:rPr>
            <w:rFonts w:eastAsia="inter" w:cs="inter" w:ascii="inter" w:hAnsi="inter"/>
            <w:color w:val="#000"/>
            <w:u w:val="single"/>
            <w:vertAlign w:val="superscript"/>
          </w:rPr>
          <w:t xml:space="preserve">[171]</w:t>
        </w:r>
      </w:hyperlink>
      <w:bookmarkStart w:id="235" w:name="fnref167:2"/>
      <w:bookmarkEnd w:id="235"/>
      <w:hyperlink w:anchor="fn167">
        <w:r>
          <w:rPr>
            <w:rFonts w:eastAsia="inter" w:cs="inter" w:ascii="inter" w:hAnsi="inter"/>
            <w:color w:val="#000"/>
            <w:u w:val="single"/>
            <w:vertAlign w:val="superscript"/>
          </w:rPr>
          <w:t xml:space="preserve">[167]</w:t>
        </w:r>
      </w:hyperlink>
      <w:bookmarkStart w:id="236" w:name="fnref169:1"/>
      <w:bookmarkEnd w:id="236"/>
      <w:hyperlink w:anchor="fn169">
        <w:r>
          <w:rPr>
            <w:rFonts w:eastAsia="inter" w:cs="inter" w:ascii="inter" w:hAnsi="inter"/>
            <w:color w:val="#000"/>
            <w:u w:val="single"/>
            <w:vertAlign w:val="superscript"/>
          </w:rPr>
          <w:t xml:space="preserve">[169]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should I record mitigation steps when a BA incorrectly disclosed PHI?</w:t>
      </w:r>
    </w:p>
    <w:p>
      <w:pPr>
        <w:spacing w:line="360" w:after="210" w:lineRule="auto"/>
      </w:pPr>
      <w:r>
        <w:rPr>
          <w:rFonts w:eastAsia="inter" w:cs="inter" w:ascii="inter" w:hAnsi="inter"/>
          <w:color w:val="000000"/>
        </w:rPr>
        <w:t xml:space="preserve">Document the nature of the incorrect disclosure, mitigation actions taken (e.g., notification, recovery efforts, policy updates), and any communications with the BA about remedial measures. Keep records of follow-up audits or training implemented to prevent recurrence.</w:t>
      </w:r>
      <w:bookmarkStart w:id="237" w:name="fnref172"/>
      <w:bookmarkEnd w:id="237"/>
      <w:hyperlink w:anchor="fn172">
        <w:r>
          <w:rPr>
            <w:rFonts w:eastAsia="inter" w:cs="inter" w:ascii="inter" w:hAnsi="inter"/>
            <w:color w:val="#000"/>
            <w:u w:val="single"/>
            <w:vertAlign w:val="superscript"/>
          </w:rPr>
          <w:t xml:space="preserve">[172]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Which disclosures to BAs are excluded because they’re for TPO?</w:t>
      </w:r>
    </w:p>
    <w:p>
      <w:pPr>
        <w:spacing w:line="360" w:after="210" w:lineRule="auto"/>
      </w:pPr>
      <w:r>
        <w:rPr>
          <w:rFonts w:eastAsia="inter" w:cs="inter" w:ascii="inter" w:hAnsi="inter"/>
          <w:color w:val="000000"/>
        </w:rPr>
        <w:t xml:space="preserve">Disclosures to BAs for treatment, payment, and healthcare operations (TPO) purposes are excluded from the accounting of disclosures. These routine operational uses are not required to be listed although they must still be protected and governed under the BAA.</w:t>
      </w:r>
      <w:bookmarkStart w:id="238" w:name="fnref173"/>
      <w:bookmarkEnd w:id="238"/>
      <w:hyperlink w:anchor="fn173">
        <w:r>
          <w:rPr>
            <w:rFonts w:eastAsia="inter" w:cs="inter" w:ascii="inter" w:hAnsi="inter"/>
            <w:color w:val="#000"/>
            <w:u w:val="single"/>
            <w:vertAlign w:val="superscript"/>
          </w:rPr>
          <w:t xml:space="preserve">[173]</w:t>
        </w:r>
      </w:hyperlink>
      <w:bookmarkStart w:id="239" w:name="fnref174"/>
      <w:bookmarkEnd w:id="239"/>
      <w:hyperlink w:anchor="fn174">
        <w:r>
          <w:rPr>
            <w:rFonts w:eastAsia="inter" w:cs="inter" w:ascii="inter" w:hAnsi="inter"/>
            <w:color w:val="#000"/>
            <w:u w:val="single"/>
            <w:vertAlign w:val="superscript"/>
          </w:rPr>
          <w:t xml:space="preserve">[174]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do I identify BA disclosures that must be included under §164.528?</w:t>
      </w:r>
    </w:p>
    <w:p>
      <w:pPr>
        <w:spacing w:line="360" w:after="210" w:lineRule="auto"/>
      </w:pPr>
      <w:r>
        <w:rPr>
          <w:rFonts w:eastAsia="inter" w:cs="inter" w:ascii="inter" w:hAnsi="inter"/>
          <w:color w:val="000000"/>
        </w:rPr>
        <w:t xml:space="preserve">Include disclosures for purposes other than TPO, written authorizations, or disclosures not exempt by regulation. Maintain detailed logs of when, to whom, what, and why PHI was disclosed to a BA, capturing any special conditions or consent exceptions per §164.528.</w:t>
      </w:r>
      <w:bookmarkStart w:id="240" w:name="fnref174:1"/>
      <w:bookmarkEnd w:id="240"/>
      <w:hyperlink w:anchor="fn174">
        <w:r>
          <w:rPr>
            <w:rFonts w:eastAsia="inter" w:cs="inter" w:ascii="inter" w:hAnsi="inter"/>
            <w:color w:val="#000"/>
            <w:u w:val="single"/>
            <w:vertAlign w:val="superscript"/>
          </w:rPr>
          <w:t xml:space="preserve">[174]</w:t>
        </w:r>
      </w:hyperlink>
      <w:bookmarkStart w:id="241" w:name="fnref173:1"/>
      <w:bookmarkEnd w:id="241"/>
      <w:hyperlink w:anchor="fn173">
        <w:r>
          <w:rPr>
            <w:rFonts w:eastAsia="inter" w:cs="inter" w:ascii="inter" w:hAnsi="inter"/>
            <w:color w:val="#000"/>
            <w:u w:val="single"/>
            <w:vertAlign w:val="superscript"/>
          </w:rPr>
          <w:t xml:space="preserve">[173]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When a BA’s subcontractor disclosed PHI how should I record that disclosure?</w:t>
      </w:r>
    </w:p>
    <w:p>
      <w:pPr>
        <w:spacing w:line="360" w:after="210" w:lineRule="auto"/>
      </w:pPr>
      <w:r>
        <w:rPr>
          <w:rFonts w:eastAsia="inter" w:cs="inter" w:ascii="inter" w:hAnsi="inter"/>
          <w:color w:val="000000"/>
        </w:rPr>
        <w:t xml:space="preserve">The primary BA must obtain and record detailed disclosures from subcontractors as part of their accounting obligations, including date, parties involved, and basis for disclosure, and report upwards to the covered entity with the same detail as if the BA made the disclosure.</w:t>
      </w:r>
      <w:bookmarkStart w:id="242" w:name="fnref168:1"/>
      <w:bookmarkEnd w:id="242"/>
      <w:hyperlink w:anchor="fn168">
        <w:r>
          <w:rPr>
            <w:rFonts w:eastAsia="inter" w:cs="inter" w:ascii="inter" w:hAnsi="inter"/>
            <w:color w:val="#000"/>
            <w:u w:val="single"/>
            <w:vertAlign w:val="superscript"/>
          </w:rPr>
          <w:t xml:space="preserve">[168]</w:t>
        </w:r>
      </w:hyperlink>
      <w:bookmarkStart w:id="243" w:name="fnref167:3"/>
      <w:bookmarkEnd w:id="243"/>
      <w:hyperlink w:anchor="fn167">
        <w:r>
          <w:rPr>
            <w:rFonts w:eastAsia="inter" w:cs="inter" w:ascii="inter" w:hAnsi="inter"/>
            <w:color w:val="#000"/>
            <w:u w:val="single"/>
            <w:vertAlign w:val="superscript"/>
          </w:rPr>
          <w:t xml:space="preserve">[167]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What documentation from a BA proves I can rely on their disclosure records?</w:t>
      </w:r>
    </w:p>
    <w:p>
      <w:pPr>
        <w:spacing w:line="360" w:after="210" w:lineRule="auto"/>
      </w:pPr>
      <w:r>
        <w:rPr>
          <w:rFonts w:eastAsia="inter" w:cs="inter" w:ascii="inter" w:hAnsi="inter"/>
          <w:color w:val="000000"/>
        </w:rPr>
        <w:t xml:space="preserve">Rely on BA-provided logs or reports demonstrating documented accounting of disclosures, backed by signed BAAs requiring recordkeeping, cooperation in audits, and breach notification. BA internal practices and records should be auditable and periodically reviewed.</w:t>
      </w:r>
      <w:bookmarkStart w:id="244" w:name="fnref169:2"/>
      <w:bookmarkEnd w:id="244"/>
      <w:hyperlink w:anchor="fn169">
        <w:r>
          <w:rPr>
            <w:rFonts w:eastAsia="inter" w:cs="inter" w:ascii="inter" w:hAnsi="inter"/>
            <w:color w:val="#000"/>
            <w:u w:val="single"/>
            <w:vertAlign w:val="superscript"/>
          </w:rPr>
          <w:t xml:space="preserve">[169]</w:t>
        </w:r>
      </w:hyperlink>
      <w:bookmarkStart w:id="245" w:name="fnref168:2"/>
      <w:bookmarkEnd w:id="245"/>
      <w:hyperlink w:anchor="fn168">
        <w:r>
          <w:rPr>
            <w:rFonts w:eastAsia="inter" w:cs="inter" w:ascii="inter" w:hAnsi="inter"/>
            <w:color w:val="#000"/>
            <w:u w:val="single"/>
            <w:vertAlign w:val="superscript"/>
          </w:rPr>
          <w:t xml:space="preserve">[168]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do I account for BA disclosures required by law or public health reporting?</w:t>
      </w:r>
    </w:p>
    <w:p>
      <w:pPr>
        <w:spacing w:line="360" w:after="210" w:lineRule="auto"/>
      </w:pPr>
      <w:r>
        <w:rPr>
          <w:rFonts w:eastAsia="inter" w:cs="inter" w:ascii="inter" w:hAnsi="inter"/>
          <w:color w:val="000000"/>
        </w:rPr>
        <w:t xml:space="preserve">Account for all law- or regulation-required disclosures, noting the legal basis and ensuring they comply with HIPAA disclosure limitations. Some may be exempt from individual accounting but must be documented for internal control and regulatory purposes.</w:t>
      </w:r>
      <w:bookmarkStart w:id="246" w:name="fnref167:4"/>
      <w:bookmarkEnd w:id="246"/>
      <w:hyperlink w:anchor="fn167">
        <w:r>
          <w:rPr>
            <w:rFonts w:eastAsia="inter" w:cs="inter" w:ascii="inter" w:hAnsi="inter"/>
            <w:color w:val="#000"/>
            <w:u w:val="single"/>
            <w:vertAlign w:val="superscript"/>
          </w:rPr>
          <w:t xml:space="preserve">[167]</w:t>
        </w:r>
      </w:hyperlink>
      <w:bookmarkStart w:id="247" w:name="fnref171:1"/>
      <w:bookmarkEnd w:id="247"/>
      <w:hyperlink w:anchor="fn171">
        <w:r>
          <w:rPr>
            <w:rFonts w:eastAsia="inter" w:cs="inter" w:ascii="inter" w:hAnsi="inter"/>
            <w:color w:val="#000"/>
            <w:u w:val="single"/>
            <w:vertAlign w:val="superscript"/>
          </w:rPr>
          <w:t xml:space="preserve">[171]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Donna’s wrap-up: When it comes to BA and subcontractor disclosures, rÆ’s got to be both the eagle-eyed record keeper and savvy contract negotiator—logging every move, demanding airtight agreements, and making sure every piece of PHI that travels the chain is tracked, justified, and safeguarded.</w:t>
      </w:r>
    </w:p>
    <w:p>
      <w:pPr>
        <w:spacing w:line="360" w:after="210" w:lineRule="auto"/>
      </w:pPr>
      <w:r>
        <w:rPr>
          <w:rFonts w:eastAsia="inter" w:cs="inter" w:ascii="inter" w:hAnsi="inter"/>
          <w:color w:val="000000"/>
        </w:rPr>
        <w:t xml:space="preserve">This creates airtight compliance that regulators and partners will respect without missing a beat.</w:t>
      </w:r>
      <w:bookmarkStart w:id="248" w:name="fnref170:1"/>
      <w:bookmarkEnd w:id="248"/>
      <w:hyperlink w:anchor="fn170">
        <w:r>
          <w:rPr>
            <w:rFonts w:eastAsia="inter" w:cs="inter" w:ascii="inter" w:hAnsi="inter"/>
            <w:color w:val="#000"/>
            <w:u w:val="single"/>
            <w:vertAlign w:val="superscript"/>
          </w:rPr>
          <w:t xml:space="preserve">[170]</w:t>
        </w:r>
      </w:hyperlink>
      <w:bookmarkStart w:id="249" w:name="fnref168:3"/>
      <w:bookmarkEnd w:id="249"/>
      <w:hyperlink w:anchor="fn168">
        <w:r>
          <w:rPr>
            <w:rFonts w:eastAsia="inter" w:cs="inter" w:ascii="inter" w:hAnsi="inter"/>
            <w:color w:val="#000"/>
            <w:u w:val="single"/>
            <w:vertAlign w:val="superscript"/>
          </w:rPr>
          <w:t xml:space="preserve">[168]</w:t>
        </w:r>
      </w:hyperlink>
      <w:bookmarkStart w:id="250" w:name="fnref171:2"/>
      <w:bookmarkEnd w:id="250"/>
      <w:hyperlink w:anchor="fn171">
        <w:r>
          <w:rPr>
            <w:rFonts w:eastAsia="inter" w:cs="inter" w:ascii="inter" w:hAnsi="inter"/>
            <w:color w:val="#000"/>
            <w:u w:val="single"/>
            <w:vertAlign w:val="superscript"/>
          </w:rPr>
          <w:t xml:space="preserve">[171]</w:t>
        </w:r>
      </w:hyperlink>
      <w:bookmarkStart w:id="251" w:name="fnref167:5"/>
      <w:bookmarkEnd w:id="251"/>
      <w:hyperlink w:anchor="fn167">
        <w:r>
          <w:rPr>
            <w:rFonts w:eastAsia="inter" w:cs="inter" w:ascii="inter" w:hAnsi="inter"/>
            <w:color w:val="#000"/>
            <w:u w:val="single"/>
            <w:vertAlign w:val="superscript"/>
          </w:rPr>
          <w:t xml:space="preserve">[167]</w:t>
        </w:r>
      </w:hyperlink>
      <w:bookmarkStart w:id="252" w:name="fnref169:3"/>
      <w:bookmarkEnd w:id="252"/>
      <w:hyperlink w:anchor="fn169">
        <w:r>
          <w:rPr>
            <w:rFonts w:eastAsia="inter" w:cs="inter" w:ascii="inter" w:hAnsi="inter"/>
            <w:color w:val="#000"/>
            <w:u w:val="single"/>
            <w:vertAlign w:val="superscript"/>
          </w:rPr>
          <w:t xml:space="preserve">[169]</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Which BA disclosures must I include under HIPAA §164.528</w:t>
      </w:r>
    </w:p>
    <w:p>
      <w:pPr>
        <w:spacing w:line="360" w:after="210" w:lineRule="auto"/>
      </w:pPr>
      <w:r>
        <w:rPr>
          <w:rFonts w:eastAsia="inter" w:cs="inter" w:ascii="inter" w:hAnsi="inter"/>
          <w:color w:val="000000"/>
        </w:rPr>
        <w:t xml:space="preserve">What written assurances from a BA prove I can rely on their records</w:t>
      </w:r>
      <w:r>
        <w:rPr>
          <w:rFonts w:eastAsia="inter" w:cs="inter" w:ascii="inter" w:hAnsi="inter"/>
          <w:color w:val="000000"/>
        </w:rPr>
        <w:br w:type="textWrapping"/>
      </w:r>
      <w:r>
        <w:rPr>
          <w:rFonts w:eastAsia="inter" w:cs="inter" w:ascii="inter" w:hAnsi="inter"/>
          <w:color w:val="000000"/>
        </w:rPr>
        <w:t xml:space="preserve">How do I document subcontractor disclosures when a BA reports them</w:t>
      </w:r>
      <w:r>
        <w:rPr>
          <w:rFonts w:eastAsia="inter" w:cs="inter" w:ascii="inter" w:hAnsi="inter"/>
          <w:color w:val="000000"/>
        </w:rPr>
        <w:br w:type="textWrapping"/>
      </w:r>
      <w:r>
        <w:rPr>
          <w:rFonts w:eastAsia="inter" w:cs="inter" w:ascii="inter" w:hAnsi="inter"/>
          <w:color w:val="000000"/>
        </w:rPr>
        <w:t xml:space="preserve">How should I log disclosures to BAs made for public health reporting</w:t>
      </w:r>
      <w:r>
        <w:rPr>
          <w:rFonts w:eastAsia="inter" w:cs="inter" w:ascii="inter" w:hAnsi="inter"/>
          <w:color w:val="000000"/>
        </w:rPr>
        <w:br w:type="textWrapping"/>
      </w:r>
      <w:r>
        <w:rPr>
          <w:rFonts w:eastAsia="inter" w:cs="inter" w:ascii="inter" w:hAnsi="inter"/>
          <w:color w:val="000000"/>
        </w:rPr>
        <w:t xml:space="preserve">How do I record mitigation steps after a BA improperly disclosed PHI</w:t>
      </w:r>
    </w:p>
    <w:p>
      <w:pPr>
        <w:spacing w:line="360" w:after="210" w:lineRule="auto"/>
      </w:pPr>
      <w:r>
        <w:rPr>
          <w:rFonts w:eastAsia="inter" w:cs="inter" w:ascii="inter" w:hAnsi="inter"/>
          <w:color w:val="000000"/>
        </w:rPr>
        <w:t xml:space="preserve">Here is a concise, detailed response addressing each of the specific questions related to HIPAA §164.528 and Business Associate (BA) disclosures that applies to rÆ:</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Which BA disclosures must I include under HIPAA §164.528?</w:t>
      </w:r>
    </w:p>
    <w:p>
      <w:pPr>
        <w:numPr>
          <w:ilvl w:val="0"/>
          <w:numId w:val="24"/>
        </w:numPr>
        <w:spacing w:line="360" w:before="105" w:after="105" w:lineRule="auto"/>
      </w:pPr>
      <w:r>
        <w:rPr>
          <w:rFonts w:eastAsia="inter" w:cs="inter" w:ascii="inter" w:hAnsi="inter"/>
          <w:color w:val="000000"/>
          <w:sz w:val="21"/>
        </w:rPr>
        <w:t xml:space="preserve">Disclosures by BAs that are </w:t>
      </w:r>
      <w:r>
        <w:rPr>
          <w:rFonts w:eastAsia="inter" w:cs="inter" w:ascii="inter" w:hAnsi="inter"/>
          <w:b/>
          <w:color w:val="000000"/>
          <w:sz w:val="21"/>
        </w:rPr>
        <w:t xml:space="preserve">not for treatment, payment, or healthcare operations (TPO)</w:t>
      </w:r>
      <w:r>
        <w:rPr>
          <w:rFonts w:eastAsia="inter" w:cs="inter" w:ascii="inter" w:hAnsi="inter"/>
          <w:color w:val="000000"/>
          <w:sz w:val="21"/>
        </w:rPr>
        <w:t xml:space="preserve"> must be included in the accounting of disclosures.</w:t>
      </w:r>
    </w:p>
    <w:p>
      <w:pPr>
        <w:numPr>
          <w:ilvl w:val="0"/>
          <w:numId w:val="24"/>
        </w:numPr>
        <w:spacing w:line="360" w:before="105" w:after="105" w:lineRule="auto"/>
      </w:pPr>
      <w:r>
        <w:rPr>
          <w:rFonts w:eastAsia="inter" w:cs="inter" w:ascii="inter" w:hAnsi="inter"/>
          <w:color w:val="000000"/>
          <w:sz w:val="21"/>
        </w:rPr>
        <w:t xml:space="preserve">Includes disclosures made pursuant to written authorization, required by law, or other permitted uses outside the normal scope of TPO.</w:t>
      </w:r>
    </w:p>
    <w:p>
      <w:pPr>
        <w:numPr>
          <w:ilvl w:val="0"/>
          <w:numId w:val="24"/>
        </w:numPr>
        <w:spacing w:line="360" w:before="105" w:after="105" w:lineRule="auto"/>
      </w:pPr>
      <w:r>
        <w:rPr>
          <w:rFonts w:eastAsia="inter" w:cs="inter" w:ascii="inter" w:hAnsi="inter"/>
          <w:color w:val="000000"/>
          <w:sz w:val="21"/>
        </w:rPr>
        <w:t xml:space="preserve">Routine TPO disclosures to BAs are </w:t>
      </w:r>
      <w:r>
        <w:rPr>
          <w:rFonts w:eastAsia="inter" w:cs="inter" w:ascii="inter" w:hAnsi="inter"/>
          <w:b/>
          <w:color w:val="000000"/>
          <w:sz w:val="21"/>
        </w:rPr>
        <w:t xml:space="preserve">excluded</w:t>
      </w:r>
      <w:r>
        <w:rPr>
          <w:rFonts w:eastAsia="inter" w:cs="inter" w:ascii="inter" w:hAnsi="inter"/>
          <w:color w:val="000000"/>
          <w:sz w:val="21"/>
        </w:rPr>
        <w:t xml:space="preserve"> from accounting.</w:t>
      </w:r>
      <w:bookmarkStart w:id="253" w:name="fnref179"/>
      <w:bookmarkEnd w:id="253"/>
      <w:hyperlink w:anchor="fn179">
        <w:r>
          <w:rPr>
            <w:rFonts w:eastAsia="inter" w:cs="inter" w:ascii="inter" w:hAnsi="inter"/>
            <w:color w:val="#000"/>
            <w:sz w:val="21"/>
            <w:u w:val="single"/>
            <w:vertAlign w:val="superscript"/>
          </w:rPr>
          <w:t xml:space="preserve">[179]</w:t>
        </w:r>
      </w:hyperlink>
      <w:bookmarkStart w:id="254" w:name="fnref180"/>
      <w:bookmarkEnd w:id="254"/>
      <w:hyperlink w:anchor="fn180">
        <w:r>
          <w:rPr>
            <w:rFonts w:eastAsia="inter" w:cs="inter" w:ascii="inter" w:hAnsi="inter"/>
            <w:color w:val="#000"/>
            <w:sz w:val="21"/>
            <w:u w:val="single"/>
            <w:vertAlign w:val="superscript"/>
          </w:rPr>
          <w:t xml:space="preserve">[180]</w:t>
        </w:r>
      </w:hyperlink>
      <w:bookmarkStart w:id="255" w:name="fnref181"/>
      <w:bookmarkEnd w:id="255"/>
      <w:hyperlink w:anchor="fn181">
        <w:r>
          <w:rPr>
            <w:rFonts w:eastAsia="inter" w:cs="inter" w:ascii="inter" w:hAnsi="inter"/>
            <w:color w:val="#000"/>
            <w:sz w:val="21"/>
            <w:u w:val="single"/>
            <w:vertAlign w:val="superscript"/>
          </w:rPr>
          <w:t xml:space="preserve">[181]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What written assurances from a BA prove I can rely on their records?</w:t>
      </w:r>
    </w:p>
    <w:p>
      <w:pPr>
        <w:numPr>
          <w:ilvl w:val="0"/>
          <w:numId w:val="25"/>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Business Associate Agreement (BAA)</w:t>
      </w:r>
      <w:r>
        <w:rPr>
          <w:rFonts w:eastAsia="inter" w:cs="inter" w:ascii="inter" w:hAnsi="inter"/>
          <w:color w:val="000000"/>
          <w:sz w:val="21"/>
        </w:rPr>
        <w:t xml:space="preserve"> containing provisions that the BA will:</w:t>
      </w:r>
    </w:p>
    <w:p>
      <w:pPr>
        <w:numPr>
          <w:ilvl w:val="1"/>
          <w:numId w:val="25"/>
        </w:numPr>
        <w:spacing w:line="360" w:before="105" w:after="105" w:lineRule="auto"/>
      </w:pPr>
      <w:r>
        <w:rPr>
          <w:rFonts w:eastAsia="inter" w:cs="inter" w:ascii="inter" w:hAnsi="inter"/>
          <w:color w:val="000000"/>
          <w:sz w:val="21"/>
        </w:rPr>
        <w:t xml:space="preserve">Document all disclosures of PHI as required by §164.528.</w:t>
      </w:r>
    </w:p>
    <w:p>
      <w:pPr>
        <w:numPr>
          <w:ilvl w:val="1"/>
          <w:numId w:val="25"/>
        </w:numPr>
        <w:spacing w:line="360" w:before="105" w:after="105" w:lineRule="auto"/>
      </w:pPr>
      <w:r>
        <w:rPr>
          <w:rFonts w:eastAsia="inter" w:cs="inter" w:ascii="inter" w:hAnsi="inter"/>
          <w:color w:val="000000"/>
          <w:sz w:val="21"/>
        </w:rPr>
        <w:t xml:space="preserve">Provide access to its records to the covered entity for audit and accounting purposes.</w:t>
      </w:r>
    </w:p>
    <w:p>
      <w:pPr>
        <w:numPr>
          <w:ilvl w:val="1"/>
          <w:numId w:val="25"/>
        </w:numPr>
        <w:spacing w:line="360" w:before="105" w:after="105" w:lineRule="auto"/>
      </w:pPr>
      <w:r>
        <w:rPr>
          <w:rFonts w:eastAsia="inter" w:cs="inter" w:ascii="inter" w:hAnsi="inter"/>
          <w:color w:val="000000"/>
          <w:sz w:val="21"/>
        </w:rPr>
        <w:t xml:space="preserve">Report breaches or unauthorized disclosures promptly.</w:t>
      </w:r>
    </w:p>
    <w:p>
      <w:pPr>
        <w:numPr>
          <w:ilvl w:val="1"/>
          <w:numId w:val="25"/>
        </w:numPr>
        <w:spacing w:line="360" w:before="105" w:after="105" w:lineRule="auto"/>
      </w:pPr>
      <w:r>
        <w:rPr>
          <w:rFonts w:eastAsia="inter" w:cs="inter" w:ascii="inter" w:hAnsi="inter"/>
          <w:color w:val="000000"/>
          <w:sz w:val="21"/>
        </w:rPr>
        <w:t xml:space="preserve">Comply fully with HIPAA privacy rules, including record retention.</w:t>
      </w:r>
    </w:p>
    <w:p>
      <w:pPr>
        <w:numPr>
          <w:ilvl w:val="0"/>
          <w:numId w:val="25"/>
        </w:numPr>
        <w:spacing w:line="360" w:before="105" w:after="105" w:lineRule="auto"/>
      </w:pPr>
      <w:r>
        <w:rPr>
          <w:rFonts w:eastAsia="inter" w:cs="inter" w:ascii="inter" w:hAnsi="inter"/>
          <w:color w:val="000000"/>
          <w:sz w:val="21"/>
        </w:rPr>
        <w:t xml:space="preserve">Signed BAAs binding subcontractors similarly strengthen reliance.</w:t>
      </w:r>
      <w:bookmarkStart w:id="256" w:name="fnref182"/>
      <w:bookmarkEnd w:id="256"/>
      <w:hyperlink w:anchor="fn182">
        <w:r>
          <w:rPr>
            <w:rFonts w:eastAsia="inter" w:cs="inter" w:ascii="inter" w:hAnsi="inter"/>
            <w:color w:val="#000"/>
            <w:sz w:val="21"/>
            <w:u w:val="single"/>
            <w:vertAlign w:val="superscript"/>
          </w:rPr>
          <w:t xml:space="preserve">[182]</w:t>
        </w:r>
      </w:hyperlink>
      <w:bookmarkStart w:id="257" w:name="fnref183"/>
      <w:bookmarkEnd w:id="257"/>
      <w:hyperlink w:anchor="fn183">
        <w:r>
          <w:rPr>
            <w:rFonts w:eastAsia="inter" w:cs="inter" w:ascii="inter" w:hAnsi="inter"/>
            <w:color w:val="#000"/>
            <w:sz w:val="21"/>
            <w:u w:val="single"/>
            <w:vertAlign w:val="superscript"/>
          </w:rPr>
          <w:t xml:space="preserve">[183]</w:t>
        </w:r>
      </w:hyperlink>
      <w:bookmarkStart w:id="258" w:name="fnref184"/>
      <w:bookmarkEnd w:id="258"/>
      <w:hyperlink w:anchor="fn184">
        <w:r>
          <w:rPr>
            <w:rFonts w:eastAsia="inter" w:cs="inter" w:ascii="inter" w:hAnsi="inter"/>
            <w:color w:val="#000"/>
            <w:sz w:val="21"/>
            <w:u w:val="single"/>
            <w:vertAlign w:val="superscript"/>
          </w:rPr>
          <w:t xml:space="preserve">[184]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do I document subcontractor disclosures when a BA reports them?</w:t>
      </w:r>
    </w:p>
    <w:p>
      <w:pPr>
        <w:numPr>
          <w:ilvl w:val="0"/>
          <w:numId w:val="26"/>
        </w:numPr>
        <w:spacing w:line="360" w:before="105" w:after="105" w:lineRule="auto"/>
      </w:pPr>
      <w:r>
        <w:rPr>
          <w:rFonts w:eastAsia="inter" w:cs="inter" w:ascii="inter" w:hAnsi="inter"/>
          <w:color w:val="000000"/>
          <w:sz w:val="21"/>
        </w:rPr>
        <w:t xml:space="preserve">Require BAs to maintain and provide detailed accounting of disclosures made by subcontractors.</w:t>
      </w:r>
    </w:p>
    <w:p>
      <w:pPr>
        <w:numPr>
          <w:ilvl w:val="0"/>
          <w:numId w:val="26"/>
        </w:numPr>
        <w:spacing w:line="360" w:before="105" w:after="105" w:lineRule="auto"/>
      </w:pPr>
      <w:r>
        <w:rPr>
          <w:rFonts w:eastAsia="inter" w:cs="inter" w:ascii="inter" w:hAnsi="inter"/>
          <w:color w:val="000000"/>
          <w:sz w:val="21"/>
        </w:rPr>
        <w:t xml:space="preserve">Record date, recipient, purpose, and nature of information disclosed by the subcontractor.</w:t>
      </w:r>
    </w:p>
    <w:p>
      <w:pPr>
        <w:numPr>
          <w:ilvl w:val="0"/>
          <w:numId w:val="26"/>
        </w:numPr>
        <w:spacing w:line="360" w:before="105" w:after="105" w:lineRule="auto"/>
      </w:pPr>
      <w:r>
        <w:rPr>
          <w:rFonts w:eastAsia="inter" w:cs="inter" w:ascii="inter" w:hAnsi="inter"/>
          <w:color w:val="000000"/>
          <w:sz w:val="21"/>
        </w:rPr>
        <w:t xml:space="preserve">Maintain these disclosures as part of the BA’s accounting records submitted to the covered entity.</w:t>
      </w:r>
    </w:p>
    <w:p>
      <w:pPr>
        <w:numPr>
          <w:ilvl w:val="0"/>
          <w:numId w:val="26"/>
        </w:numPr>
        <w:spacing w:line="360" w:before="105" w:after="105" w:lineRule="auto"/>
      </w:pPr>
      <w:r>
        <w:rPr>
          <w:rFonts w:eastAsia="inter" w:cs="inter" w:ascii="inter" w:hAnsi="inter"/>
          <w:color w:val="000000"/>
          <w:sz w:val="21"/>
        </w:rPr>
        <w:t xml:space="preserve">Ensure BA-subcontractor agreements reflect these obligations.</w:t>
      </w:r>
      <w:bookmarkStart w:id="259" w:name="fnref185"/>
      <w:bookmarkEnd w:id="259"/>
      <w:hyperlink w:anchor="fn185">
        <w:r>
          <w:rPr>
            <w:rFonts w:eastAsia="inter" w:cs="inter" w:ascii="inter" w:hAnsi="inter"/>
            <w:color w:val="#000"/>
            <w:sz w:val="21"/>
            <w:u w:val="single"/>
            <w:vertAlign w:val="superscript"/>
          </w:rPr>
          <w:t xml:space="preserve">[185]</w:t>
        </w:r>
      </w:hyperlink>
      <w:bookmarkStart w:id="260" w:name="fnref182:1"/>
      <w:bookmarkEnd w:id="260"/>
      <w:hyperlink w:anchor="fn182">
        <w:r>
          <w:rPr>
            <w:rFonts w:eastAsia="inter" w:cs="inter" w:ascii="inter" w:hAnsi="inter"/>
            <w:color w:val="#000"/>
            <w:sz w:val="21"/>
            <w:u w:val="single"/>
            <w:vertAlign w:val="superscript"/>
          </w:rPr>
          <w:t xml:space="preserve">[182]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should I log disclosures to BAs made for public health reporting?</w:t>
      </w:r>
    </w:p>
    <w:p>
      <w:pPr>
        <w:numPr>
          <w:ilvl w:val="0"/>
          <w:numId w:val="27"/>
        </w:numPr>
        <w:spacing w:line="360" w:before="105" w:after="105" w:lineRule="auto"/>
      </w:pPr>
      <w:r>
        <w:rPr>
          <w:rFonts w:eastAsia="inter" w:cs="inter" w:ascii="inter" w:hAnsi="inter"/>
          <w:color w:val="000000"/>
          <w:sz w:val="21"/>
        </w:rPr>
        <w:t xml:space="preserve">Log the disclosures noting the date, recipient public health authority, legal basis (e.g., public health law), type of information disclosed, and purpose.</w:t>
      </w:r>
    </w:p>
    <w:p>
      <w:pPr>
        <w:numPr>
          <w:ilvl w:val="0"/>
          <w:numId w:val="27"/>
        </w:numPr>
        <w:spacing w:line="360" w:before="105" w:after="105" w:lineRule="auto"/>
      </w:pPr>
      <w:r>
        <w:rPr>
          <w:rFonts w:eastAsia="inter" w:cs="inter" w:ascii="inter" w:hAnsi="inter"/>
          <w:color w:val="000000"/>
          <w:sz w:val="21"/>
        </w:rPr>
        <w:t xml:space="preserve">Public health disclosures are included in accounting unless specifically exempted.</w:t>
      </w:r>
    </w:p>
    <w:p>
      <w:pPr>
        <w:numPr>
          <w:ilvl w:val="0"/>
          <w:numId w:val="27"/>
        </w:numPr>
        <w:spacing w:line="360" w:before="105" w:after="105" w:lineRule="auto"/>
      </w:pPr>
      <w:r>
        <w:rPr>
          <w:rFonts w:eastAsia="inter" w:cs="inter" w:ascii="inter" w:hAnsi="inter"/>
          <w:color w:val="000000"/>
          <w:sz w:val="21"/>
        </w:rPr>
        <w:t xml:space="preserve">Ensure records are complete for audits and individual accounting requests.</w:t>
      </w:r>
      <w:bookmarkStart w:id="261" w:name="fnref180:1"/>
      <w:bookmarkEnd w:id="261"/>
      <w:hyperlink w:anchor="fn180">
        <w:r>
          <w:rPr>
            <w:rFonts w:eastAsia="inter" w:cs="inter" w:ascii="inter" w:hAnsi="inter"/>
            <w:color w:val="#000"/>
            <w:sz w:val="21"/>
            <w:u w:val="single"/>
            <w:vertAlign w:val="superscript"/>
          </w:rPr>
          <w:t xml:space="preserve">[180]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do I record mitigation steps after a BA improperly disclosed PHI?</w:t>
      </w:r>
    </w:p>
    <w:p>
      <w:pPr>
        <w:numPr>
          <w:ilvl w:val="0"/>
          <w:numId w:val="28"/>
        </w:numPr>
        <w:spacing w:line="360" w:before="105" w:after="105" w:lineRule="auto"/>
      </w:pPr>
      <w:r>
        <w:rPr>
          <w:rFonts w:eastAsia="inter" w:cs="inter" w:ascii="inter" w:hAnsi="inter"/>
          <w:color w:val="000000"/>
          <w:sz w:val="21"/>
        </w:rPr>
        <w:t xml:space="preserve">Document the incident thoroughly including:</w:t>
      </w:r>
    </w:p>
    <w:p>
      <w:pPr>
        <w:numPr>
          <w:ilvl w:val="1"/>
          <w:numId w:val="28"/>
        </w:numPr>
        <w:spacing w:line="360" w:before="105" w:after="105" w:lineRule="auto"/>
      </w:pPr>
      <w:r>
        <w:rPr>
          <w:rFonts w:eastAsia="inter" w:cs="inter" w:ascii="inter" w:hAnsi="inter"/>
          <w:color w:val="000000"/>
          <w:sz w:val="21"/>
        </w:rPr>
        <w:t xml:space="preserve">Description of the improper disclosure.</w:t>
      </w:r>
    </w:p>
    <w:p>
      <w:pPr>
        <w:numPr>
          <w:ilvl w:val="1"/>
          <w:numId w:val="28"/>
        </w:numPr>
        <w:spacing w:line="360" w:before="105" w:after="105" w:lineRule="auto"/>
      </w:pPr>
      <w:r>
        <w:rPr>
          <w:rFonts w:eastAsia="inter" w:cs="inter" w:ascii="inter" w:hAnsi="inter"/>
          <w:color w:val="000000"/>
          <w:sz w:val="21"/>
        </w:rPr>
        <w:t xml:space="preserve">Actions taken to contain and mitigate harm (e.g., notification, recovery efforts).</w:t>
      </w:r>
    </w:p>
    <w:p>
      <w:pPr>
        <w:numPr>
          <w:ilvl w:val="1"/>
          <w:numId w:val="28"/>
        </w:numPr>
        <w:spacing w:line="360" w:before="105" w:after="105" w:lineRule="auto"/>
      </w:pPr>
      <w:r>
        <w:rPr>
          <w:rFonts w:eastAsia="inter" w:cs="inter" w:ascii="inter" w:hAnsi="inter"/>
          <w:color w:val="000000"/>
          <w:sz w:val="21"/>
        </w:rPr>
        <w:t xml:space="preserve">Communication and corrective steps with the BA.</w:t>
      </w:r>
    </w:p>
    <w:p>
      <w:pPr>
        <w:numPr>
          <w:ilvl w:val="1"/>
          <w:numId w:val="28"/>
        </w:numPr>
        <w:spacing w:line="360" w:before="105" w:after="105" w:lineRule="auto"/>
      </w:pPr>
      <w:r>
        <w:rPr>
          <w:rFonts w:eastAsia="inter" w:cs="inter" w:ascii="inter" w:hAnsi="inter"/>
          <w:color w:val="000000"/>
          <w:sz w:val="21"/>
        </w:rPr>
        <w:t xml:space="preserve">Any policy or procedural changes implemented afterward.</w:t>
      </w:r>
    </w:p>
    <w:p>
      <w:pPr>
        <w:numPr>
          <w:ilvl w:val="1"/>
          <w:numId w:val="28"/>
        </w:numPr>
        <w:spacing w:line="360" w:before="105" w:after="105" w:lineRule="auto"/>
      </w:pPr>
      <w:r>
        <w:rPr>
          <w:rFonts w:eastAsia="inter" w:cs="inter" w:ascii="inter" w:hAnsi="inter"/>
          <w:color w:val="000000"/>
          <w:sz w:val="21"/>
        </w:rPr>
        <w:t xml:space="preserve">Follow-up monitoring or audits.</w:t>
      </w:r>
      <w:bookmarkStart w:id="262" w:name="fnref186"/>
      <w:bookmarkEnd w:id="262"/>
      <w:hyperlink w:anchor="fn186">
        <w:r>
          <w:rPr>
            <w:rFonts w:eastAsia="inter" w:cs="inter" w:ascii="inter" w:hAnsi="inter"/>
            <w:color w:val="#000"/>
            <w:sz w:val="21"/>
            <w:u w:val="single"/>
            <w:vertAlign w:val="superscript"/>
          </w:rPr>
          <w:t xml:space="preserve">[186]</w:t>
        </w:r>
      </w:hyperlink>
      <w:bookmarkStart w:id="263" w:name="fnref187"/>
      <w:bookmarkEnd w:id="263"/>
      <w:hyperlink w:anchor="fn187">
        <w:r>
          <w:rPr>
            <w:rFonts w:eastAsia="inter" w:cs="inter" w:ascii="inter" w:hAnsi="inter"/>
            <w:color w:val="#000"/>
            <w:sz w:val="21"/>
            <w:u w:val="single"/>
            <w:vertAlign w:val="superscript"/>
          </w:rPr>
          <w:t xml:space="preserve">[187]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Donna would put it like this: rÆ’s compliance toolbox is tight—tracking non-TPO disclosures, locking agreements tight with BAs, logging every subcontractor slip-up, and owning every recovery move like a pro. The regs want streaming transparency, and rÆ’s got the playlist on repeat.</w:t>
      </w:r>
    </w:p>
    <w:p>
      <w:pPr>
        <w:spacing w:line="360" w:after="210" w:lineRule="auto"/>
      </w:pPr>
      <w:r>
        <w:rPr>
          <w:rFonts w:eastAsia="inter" w:cs="inter" w:ascii="inter" w:hAnsi="inter"/>
          <w:color w:val="000000"/>
        </w:rPr>
        <w:t xml:space="preserve">This ensures trust, regulatory harmony, and a flawless audit trail every step of the way.</w:t>
      </w:r>
      <w:bookmarkStart w:id="264" w:name="fnref179:1"/>
      <w:bookmarkEnd w:id="264"/>
      <w:hyperlink w:anchor="fn179">
        <w:r>
          <w:rPr>
            <w:rFonts w:eastAsia="inter" w:cs="inter" w:ascii="inter" w:hAnsi="inter"/>
            <w:color w:val="#000"/>
            <w:u w:val="single"/>
            <w:vertAlign w:val="superscript"/>
          </w:rPr>
          <w:t xml:space="preserve">[179]</w:t>
        </w:r>
      </w:hyperlink>
      <w:bookmarkStart w:id="265" w:name="fnref180:2"/>
      <w:bookmarkEnd w:id="265"/>
      <w:hyperlink w:anchor="fn180">
        <w:r>
          <w:rPr>
            <w:rFonts w:eastAsia="inter" w:cs="inter" w:ascii="inter" w:hAnsi="inter"/>
            <w:color w:val="#000"/>
            <w:u w:val="single"/>
            <w:vertAlign w:val="superscript"/>
          </w:rPr>
          <w:t xml:space="preserve">[180]</w:t>
        </w:r>
      </w:hyperlink>
      <w:bookmarkStart w:id="266" w:name="fnref186:1"/>
      <w:bookmarkEnd w:id="266"/>
      <w:hyperlink w:anchor="fn186">
        <w:r>
          <w:rPr>
            <w:rFonts w:eastAsia="inter" w:cs="inter" w:ascii="inter" w:hAnsi="inter"/>
            <w:color w:val="#000"/>
            <w:u w:val="single"/>
            <w:vertAlign w:val="superscript"/>
          </w:rPr>
          <w:t xml:space="preserve">[186]</w:t>
        </w:r>
      </w:hyperlink>
      <w:bookmarkStart w:id="267" w:name="fnref182:2"/>
      <w:bookmarkEnd w:id="267"/>
      <w:hyperlink w:anchor="fn182">
        <w:r>
          <w:rPr>
            <w:rFonts w:eastAsia="inter" w:cs="inter" w:ascii="inter" w:hAnsi="inter"/>
            <w:color w:val="#000"/>
            <w:u w:val="single"/>
            <w:vertAlign w:val="superscript"/>
          </w:rPr>
          <w:t xml:space="preserve">[182]</w:t>
        </w:r>
      </w:hyperlink>
      <w:bookmarkStart w:id="268" w:name="fnref185:1"/>
      <w:bookmarkEnd w:id="268"/>
      <w:hyperlink w:anchor="fn185">
        <w:r>
          <w:rPr>
            <w:rFonts w:eastAsia="inter" w:cs="inter" w:ascii="inter" w:hAnsi="inter"/>
            <w:color w:val="#000"/>
            <w:u w:val="single"/>
            <w:vertAlign w:val="superscript"/>
          </w:rPr>
          <w:t xml:space="preserve">[185]</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Which BA-made disclosures are exempt from §164.528 accounting because they’re for TPO</w:t>
      </w:r>
    </w:p>
    <w:p>
      <w:pPr>
        <w:spacing w:line="360" w:after="210" w:lineRule="auto"/>
      </w:pPr>
      <w:r>
        <w:rPr>
          <w:rFonts w:eastAsia="inter" w:cs="inter" w:ascii="inter" w:hAnsi="inter"/>
          <w:color w:val="000000"/>
        </w:rPr>
        <w:t xml:space="preserve">What specific BA records and formats satisfy my reliance on their disclosure logs</w:t>
      </w:r>
      <w:r>
        <w:rPr>
          <w:rFonts w:eastAsia="inter" w:cs="inter" w:ascii="inter" w:hAnsi="inter"/>
          <w:color w:val="000000"/>
        </w:rPr>
        <w:br w:type="textWrapping"/>
      </w:r>
      <w:r>
        <w:rPr>
          <w:rFonts w:eastAsia="inter" w:cs="inter" w:ascii="inter" w:hAnsi="inter"/>
          <w:color w:val="000000"/>
        </w:rPr>
        <w:t xml:space="preserve">How should I document a BA’s subcontractor disclosure chain for an accounting</w:t>
      </w:r>
      <w:r>
        <w:rPr>
          <w:rFonts w:eastAsia="inter" w:cs="inter" w:ascii="inter" w:hAnsi="inter"/>
          <w:color w:val="000000"/>
        </w:rPr>
        <w:br w:type="textWrapping"/>
      </w:r>
      <w:r>
        <w:rPr>
          <w:rFonts w:eastAsia="inter" w:cs="inter" w:ascii="inter" w:hAnsi="inter"/>
          <w:color w:val="000000"/>
        </w:rPr>
        <w:t xml:space="preserve">What entries must I add when a BA reports disclosures to public health authorities</w:t>
      </w:r>
      <w:r>
        <w:rPr>
          <w:rFonts w:eastAsia="inter" w:cs="inter" w:ascii="inter" w:hAnsi="inter"/>
          <w:color w:val="000000"/>
        </w:rPr>
        <w:br w:type="textWrapping"/>
      </w:r>
      <w:r>
        <w:rPr>
          <w:rFonts w:eastAsia="inter" w:cs="inter" w:ascii="inter" w:hAnsi="inter"/>
          <w:color w:val="000000"/>
        </w:rPr>
        <w:t xml:space="preserve">How do I record mitigation actions after a BA’s impermissible PHI disclosure</w:t>
      </w:r>
    </w:p>
    <w:p>
      <w:pPr>
        <w:spacing w:line="360" w:after="210" w:lineRule="auto"/>
      </w:pPr>
      <w:r>
        <w:rPr>
          <w:rFonts w:eastAsia="inter" w:cs="inter" w:ascii="inter" w:hAnsi="inter"/>
          <w:color w:val="000000"/>
        </w:rPr>
        <w:t xml:space="preserve">Here is a detailed response addressing each question regarding Business Associate (BA) disclosures and documentation under HIPAA §164.528 for rÆ:</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Which BA-made disclosures are exempt from §164.528 accounting because they’re for TPO?</w:t>
      </w:r>
    </w:p>
    <w:p>
      <w:pPr>
        <w:numPr>
          <w:ilvl w:val="0"/>
          <w:numId w:val="29"/>
        </w:numPr>
        <w:spacing w:line="360" w:before="105" w:after="105" w:lineRule="auto"/>
      </w:pPr>
      <w:r>
        <w:rPr>
          <w:rFonts w:eastAsia="inter" w:cs="inter" w:ascii="inter" w:hAnsi="inter"/>
          <w:color w:val="000000"/>
          <w:sz w:val="21"/>
        </w:rPr>
        <w:t xml:space="preserve">Disclosures of PHI by BAs for </w:t>
      </w:r>
      <w:r>
        <w:rPr>
          <w:rFonts w:eastAsia="inter" w:cs="inter" w:ascii="inter" w:hAnsi="inter"/>
          <w:b/>
          <w:color w:val="000000"/>
          <w:sz w:val="21"/>
        </w:rPr>
        <w:t xml:space="preserve">Treatment, Payment, and Healthcare Operations (TPO)</w:t>
      </w:r>
      <w:r>
        <w:rPr>
          <w:rFonts w:eastAsia="inter" w:cs="inter" w:ascii="inter" w:hAnsi="inter"/>
          <w:color w:val="000000"/>
          <w:sz w:val="21"/>
        </w:rPr>
        <w:t xml:space="preserve"> purposes are exempt from accounting.</w:t>
      </w:r>
    </w:p>
    <w:p>
      <w:pPr>
        <w:numPr>
          <w:ilvl w:val="0"/>
          <w:numId w:val="29"/>
        </w:numPr>
        <w:spacing w:line="360" w:before="105" w:after="105" w:lineRule="auto"/>
      </w:pPr>
      <w:r>
        <w:rPr>
          <w:rFonts w:eastAsia="inter" w:cs="inter" w:ascii="inter" w:hAnsi="inter"/>
          <w:color w:val="000000"/>
          <w:sz w:val="21"/>
        </w:rPr>
        <w:t xml:space="preserve">This means routine operational disclosures necessary for the covered entity’s healthcare functions with the BA do </w:t>
      </w:r>
      <w:r>
        <w:rPr>
          <w:rFonts w:eastAsia="inter" w:cs="inter" w:ascii="inter" w:hAnsi="inter"/>
          <w:b/>
          <w:color w:val="000000"/>
          <w:sz w:val="21"/>
        </w:rPr>
        <w:t xml:space="preserve">not</w:t>
      </w:r>
      <w:r>
        <w:rPr>
          <w:rFonts w:eastAsia="inter" w:cs="inter" w:ascii="inter" w:hAnsi="inter"/>
          <w:color w:val="000000"/>
          <w:sz w:val="21"/>
        </w:rPr>
        <w:t xml:space="preserve"> need to be included in the accounting.</w:t>
      </w:r>
    </w:p>
    <w:p>
      <w:pPr>
        <w:numPr>
          <w:ilvl w:val="0"/>
          <w:numId w:val="29"/>
        </w:numPr>
        <w:spacing w:line="360" w:before="105" w:after="105" w:lineRule="auto"/>
      </w:pPr>
      <w:r>
        <w:rPr>
          <w:rFonts w:eastAsia="inter" w:cs="inter" w:ascii="inter" w:hAnsi="inter"/>
          <w:color w:val="000000"/>
          <w:sz w:val="21"/>
        </w:rPr>
        <w:t xml:space="preserve">The BA agreement usually specifies permissible uses limited to TPO or other authorized purposes.</w:t>
      </w:r>
      <w:bookmarkStart w:id="269" w:name="fnref192"/>
      <w:bookmarkEnd w:id="269"/>
      <w:hyperlink w:anchor="fn192">
        <w:r>
          <w:rPr>
            <w:rFonts w:eastAsia="inter" w:cs="inter" w:ascii="inter" w:hAnsi="inter"/>
            <w:color w:val="#000"/>
            <w:sz w:val="21"/>
            <w:u w:val="single"/>
            <w:vertAlign w:val="superscript"/>
          </w:rPr>
          <w:t xml:space="preserve">[192]</w:t>
        </w:r>
      </w:hyperlink>
      <w:bookmarkStart w:id="270" w:name="fnref193"/>
      <w:bookmarkEnd w:id="270"/>
      <w:hyperlink w:anchor="fn193">
        <w:r>
          <w:rPr>
            <w:rFonts w:eastAsia="inter" w:cs="inter" w:ascii="inter" w:hAnsi="inter"/>
            <w:color w:val="#000"/>
            <w:sz w:val="21"/>
            <w:u w:val="single"/>
            <w:vertAlign w:val="superscript"/>
          </w:rPr>
          <w:t xml:space="preserve">[193]</w:t>
        </w:r>
      </w:hyperlink>
      <w:bookmarkStart w:id="271" w:name="fnref194"/>
      <w:bookmarkEnd w:id="271"/>
      <w:hyperlink w:anchor="fn194">
        <w:r>
          <w:rPr>
            <w:rFonts w:eastAsia="inter" w:cs="inter" w:ascii="inter" w:hAnsi="inter"/>
            <w:color w:val="#000"/>
            <w:sz w:val="21"/>
            <w:u w:val="single"/>
            <w:vertAlign w:val="superscript"/>
          </w:rPr>
          <w:t xml:space="preserve">[194]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What specific BA records and formats satisfy my reliance on their disclosure logs?</w:t>
      </w:r>
    </w:p>
    <w:p>
      <w:pPr>
        <w:numPr>
          <w:ilvl w:val="0"/>
          <w:numId w:val="30"/>
        </w:numPr>
        <w:spacing w:line="360" w:before="105" w:after="105" w:lineRule="auto"/>
      </w:pPr>
      <w:r>
        <w:rPr>
          <w:rFonts w:eastAsia="inter" w:cs="inter" w:ascii="inter" w:hAnsi="inter"/>
          <w:color w:val="000000"/>
          <w:sz w:val="21"/>
        </w:rPr>
        <w:t xml:space="preserve">BA records should be complete, accurate, and auditable, typically maintained in electronic formats such as secure databases or log files.</w:t>
      </w:r>
    </w:p>
    <w:p>
      <w:pPr>
        <w:numPr>
          <w:ilvl w:val="0"/>
          <w:numId w:val="30"/>
        </w:numPr>
        <w:spacing w:line="360" w:before="105" w:after="105" w:lineRule="auto"/>
      </w:pPr>
      <w:r>
        <w:rPr>
          <w:rFonts w:eastAsia="inter" w:cs="inter" w:ascii="inter" w:hAnsi="inter"/>
          <w:color w:val="000000"/>
          <w:sz w:val="21"/>
        </w:rPr>
        <w:t xml:space="preserve">Records should include: date of disclosure, recipient identity, purpose, description of PHI disclosed, and legal basis.</w:t>
      </w:r>
    </w:p>
    <w:p>
      <w:pPr>
        <w:numPr>
          <w:ilvl w:val="0"/>
          <w:numId w:val="30"/>
        </w:numPr>
        <w:spacing w:line="360" w:before="105" w:after="105" w:lineRule="auto"/>
      </w:pPr>
      <w:r>
        <w:rPr>
          <w:rFonts w:eastAsia="inter" w:cs="inter" w:ascii="inter" w:hAnsi="inter"/>
          <w:color w:val="000000"/>
          <w:sz w:val="21"/>
        </w:rPr>
        <w:t xml:space="preserve">Documentation should be accessible for audits and reflect adherence to the BA agreement and HIPAA requirements.</w:t>
      </w:r>
    </w:p>
    <w:p>
      <w:pPr>
        <w:numPr>
          <w:ilvl w:val="0"/>
          <w:numId w:val="30"/>
        </w:numPr>
        <w:spacing w:line="360" w:before="105" w:after="105" w:lineRule="auto"/>
      </w:pPr>
      <w:r>
        <w:rPr>
          <w:rFonts w:eastAsia="inter" w:cs="inter" w:ascii="inter" w:hAnsi="inter"/>
          <w:color w:val="000000"/>
          <w:sz w:val="21"/>
        </w:rPr>
        <w:t xml:space="preserve">Periodic certifications or attestation from the BA confirming record accuracy strengthen reliance.</w:t>
      </w:r>
      <w:bookmarkStart w:id="272" w:name="fnref195"/>
      <w:bookmarkEnd w:id="272"/>
      <w:hyperlink w:anchor="fn195">
        <w:r>
          <w:rPr>
            <w:rFonts w:eastAsia="inter" w:cs="inter" w:ascii="inter" w:hAnsi="inter"/>
            <w:color w:val="#000"/>
            <w:sz w:val="21"/>
            <w:u w:val="single"/>
            <w:vertAlign w:val="superscript"/>
          </w:rPr>
          <w:t xml:space="preserve">[195]</w:t>
        </w:r>
      </w:hyperlink>
      <w:bookmarkStart w:id="273" w:name="fnref196"/>
      <w:bookmarkEnd w:id="273"/>
      <w:hyperlink w:anchor="fn196">
        <w:r>
          <w:rPr>
            <w:rFonts w:eastAsia="inter" w:cs="inter" w:ascii="inter" w:hAnsi="inter"/>
            <w:color w:val="#000"/>
            <w:sz w:val="21"/>
            <w:u w:val="single"/>
            <w:vertAlign w:val="superscript"/>
          </w:rPr>
          <w:t xml:space="preserve">[196]</w:t>
        </w:r>
      </w:hyperlink>
      <w:bookmarkStart w:id="274" w:name="fnref197"/>
      <w:bookmarkEnd w:id="274"/>
      <w:hyperlink w:anchor="fn197">
        <w:r>
          <w:rPr>
            <w:rFonts w:eastAsia="inter" w:cs="inter" w:ascii="inter" w:hAnsi="inter"/>
            <w:color w:val="#000"/>
            <w:sz w:val="21"/>
            <w:u w:val="single"/>
            <w:vertAlign w:val="superscript"/>
          </w:rPr>
          <w:t xml:space="preserve">[197]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should I document a BA’s subcontractor disclosure chain for an accounting?</w:t>
      </w:r>
    </w:p>
    <w:p>
      <w:pPr>
        <w:numPr>
          <w:ilvl w:val="0"/>
          <w:numId w:val="31"/>
        </w:numPr>
        <w:spacing w:line="360" w:before="105" w:after="105" w:lineRule="auto"/>
      </w:pPr>
      <w:r>
        <w:rPr>
          <w:rFonts w:eastAsia="inter" w:cs="inter" w:ascii="inter" w:hAnsi="inter"/>
          <w:color w:val="000000"/>
          <w:sz w:val="21"/>
        </w:rPr>
        <w:t xml:space="preserve">Require BAs to maintain a comprehensive chain of disclosures, including any made by subcontractors.</w:t>
      </w:r>
    </w:p>
    <w:p>
      <w:pPr>
        <w:numPr>
          <w:ilvl w:val="0"/>
          <w:numId w:val="31"/>
        </w:numPr>
        <w:spacing w:line="360" w:before="105" w:after="105" w:lineRule="auto"/>
      </w:pPr>
      <w:r>
        <w:rPr>
          <w:rFonts w:eastAsia="inter" w:cs="inter" w:ascii="inter" w:hAnsi="inter"/>
          <w:color w:val="000000"/>
          <w:sz w:val="21"/>
        </w:rPr>
        <w:t xml:space="preserve">Document dates, recipients, PHI nature, and purposes for each subcontractor disclosure.</w:t>
      </w:r>
    </w:p>
    <w:p>
      <w:pPr>
        <w:numPr>
          <w:ilvl w:val="0"/>
          <w:numId w:val="31"/>
        </w:numPr>
        <w:spacing w:line="360" w:before="105" w:after="105" w:lineRule="auto"/>
      </w:pPr>
      <w:r>
        <w:rPr>
          <w:rFonts w:eastAsia="inter" w:cs="inter" w:ascii="inter" w:hAnsi="inter"/>
          <w:color w:val="000000"/>
          <w:sz w:val="21"/>
        </w:rPr>
        <w:t xml:space="preserve">Confirm that BA-subcontractor agreements mandate subcontractors to preserve disclosure records and cooperate in accounting.</w:t>
      </w:r>
    </w:p>
    <w:p>
      <w:pPr>
        <w:numPr>
          <w:ilvl w:val="0"/>
          <w:numId w:val="31"/>
        </w:numPr>
        <w:spacing w:line="360" w:before="105" w:after="105" w:lineRule="auto"/>
      </w:pPr>
      <w:r>
        <w:rPr>
          <w:rFonts w:eastAsia="inter" w:cs="inter" w:ascii="inter" w:hAnsi="inter"/>
          <w:color w:val="000000"/>
          <w:sz w:val="21"/>
        </w:rPr>
        <w:t xml:space="preserve">Reflect this chain comprehensively in the BA’s reports forwarded to the covered entity.</w:t>
      </w:r>
      <w:bookmarkStart w:id="275" w:name="fnref197:1"/>
      <w:bookmarkEnd w:id="275"/>
      <w:hyperlink w:anchor="fn197">
        <w:r>
          <w:rPr>
            <w:rFonts w:eastAsia="inter" w:cs="inter" w:ascii="inter" w:hAnsi="inter"/>
            <w:color w:val="#000"/>
            <w:sz w:val="21"/>
            <w:u w:val="single"/>
            <w:vertAlign w:val="superscript"/>
          </w:rPr>
          <w:t xml:space="preserve">[197]</w:t>
        </w:r>
      </w:hyperlink>
      <w:bookmarkStart w:id="276" w:name="fnref198"/>
      <w:bookmarkEnd w:id="276"/>
      <w:hyperlink w:anchor="fn198">
        <w:r>
          <w:rPr>
            <w:rFonts w:eastAsia="inter" w:cs="inter" w:ascii="inter" w:hAnsi="inter"/>
            <w:color w:val="#000"/>
            <w:sz w:val="21"/>
            <w:u w:val="single"/>
            <w:vertAlign w:val="superscript"/>
          </w:rPr>
          <w:t xml:space="preserve">[198]</w:t>
        </w:r>
      </w:hyperlink>
      <w:bookmarkStart w:id="277" w:name="fnref199"/>
      <w:bookmarkEnd w:id="277"/>
      <w:hyperlink w:anchor="fn199">
        <w:r>
          <w:rPr>
            <w:rFonts w:eastAsia="inter" w:cs="inter" w:ascii="inter" w:hAnsi="inter"/>
            <w:color w:val="#000"/>
            <w:sz w:val="21"/>
            <w:u w:val="single"/>
            <w:vertAlign w:val="superscript"/>
          </w:rPr>
          <w:t xml:space="preserve">[199]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What entries must I add when a BA reports disclosures to public health authorities?</w:t>
      </w:r>
    </w:p>
    <w:p>
      <w:pPr>
        <w:numPr>
          <w:ilvl w:val="0"/>
          <w:numId w:val="32"/>
        </w:numPr>
        <w:spacing w:line="360" w:before="105" w:after="105" w:lineRule="auto"/>
      </w:pPr>
      <w:r>
        <w:rPr>
          <w:rFonts w:eastAsia="inter" w:cs="inter" w:ascii="inter" w:hAnsi="inter"/>
          <w:color w:val="000000"/>
          <w:sz w:val="21"/>
        </w:rPr>
        <w:t xml:space="preserve">Record the date of disclosure, specific public health authority recipient, the legal authority mandating the disclosure, and the PHI types involved.</w:t>
      </w:r>
    </w:p>
    <w:p>
      <w:pPr>
        <w:numPr>
          <w:ilvl w:val="0"/>
          <w:numId w:val="32"/>
        </w:numPr>
        <w:spacing w:line="360" w:before="105" w:after="105" w:lineRule="auto"/>
      </w:pPr>
      <w:r>
        <w:rPr>
          <w:rFonts w:eastAsia="inter" w:cs="inter" w:ascii="inter" w:hAnsi="inter"/>
          <w:color w:val="000000"/>
          <w:sz w:val="21"/>
        </w:rPr>
        <w:t xml:space="preserve">Include the purpose as related to public health reporting or surveillance.</w:t>
      </w:r>
    </w:p>
    <w:p>
      <w:pPr>
        <w:numPr>
          <w:ilvl w:val="0"/>
          <w:numId w:val="32"/>
        </w:numPr>
        <w:spacing w:line="360" w:before="105" w:after="105" w:lineRule="auto"/>
      </w:pPr>
      <w:r>
        <w:rPr>
          <w:rFonts w:eastAsia="inter" w:cs="inter" w:ascii="inter" w:hAnsi="inter"/>
          <w:color w:val="000000"/>
          <w:sz w:val="21"/>
        </w:rPr>
        <w:t xml:space="preserve">Note exemption status if applicable since some public health disclosures may be exempt from individual accounting rights.</w:t>
      </w:r>
    </w:p>
    <w:p>
      <w:pPr>
        <w:numPr>
          <w:ilvl w:val="0"/>
          <w:numId w:val="32"/>
        </w:numPr>
        <w:spacing w:line="360" w:before="105" w:after="105" w:lineRule="auto"/>
      </w:pPr>
      <w:r>
        <w:rPr>
          <w:rFonts w:eastAsia="inter" w:cs="inter" w:ascii="inter" w:hAnsi="inter"/>
          <w:color w:val="000000"/>
          <w:sz w:val="21"/>
        </w:rPr>
        <w:t xml:space="preserve">Ensure detailed records support regulatory audits or individual requests even if exempt from accounting.</w:t>
      </w:r>
      <w:bookmarkStart w:id="278" w:name="fnref194:1"/>
      <w:bookmarkEnd w:id="278"/>
      <w:hyperlink w:anchor="fn194">
        <w:r>
          <w:rPr>
            <w:rFonts w:eastAsia="inter" w:cs="inter" w:ascii="inter" w:hAnsi="inter"/>
            <w:color w:val="#000"/>
            <w:sz w:val="21"/>
            <w:u w:val="single"/>
            <w:vertAlign w:val="superscript"/>
          </w:rPr>
          <w:t xml:space="preserve">[194]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do I record mitigation actions after a BA’s impermissible PHI disclosure?</w:t>
      </w:r>
    </w:p>
    <w:p>
      <w:pPr>
        <w:numPr>
          <w:ilvl w:val="0"/>
          <w:numId w:val="33"/>
        </w:numPr>
        <w:spacing w:line="360" w:before="105" w:after="105" w:lineRule="auto"/>
      </w:pPr>
      <w:r>
        <w:rPr>
          <w:rFonts w:eastAsia="inter" w:cs="inter" w:ascii="inter" w:hAnsi="inter"/>
          <w:color w:val="000000"/>
          <w:sz w:val="21"/>
        </w:rPr>
        <w:t xml:space="preserve">Document a detailed description of the impermissible disclosure event.</w:t>
      </w:r>
    </w:p>
    <w:p>
      <w:pPr>
        <w:numPr>
          <w:ilvl w:val="0"/>
          <w:numId w:val="33"/>
        </w:numPr>
        <w:spacing w:line="360" w:before="105" w:after="105" w:lineRule="auto"/>
      </w:pPr>
      <w:r>
        <w:rPr>
          <w:rFonts w:eastAsia="inter" w:cs="inter" w:ascii="inter" w:hAnsi="inter"/>
          <w:color w:val="000000"/>
          <w:sz w:val="21"/>
        </w:rPr>
        <w:t xml:space="preserve">Note immediate mitigation efforts, including notification to affected parties, recovery or containment actions, and breach reporting timeline.</w:t>
      </w:r>
    </w:p>
    <w:p>
      <w:pPr>
        <w:numPr>
          <w:ilvl w:val="0"/>
          <w:numId w:val="33"/>
        </w:numPr>
        <w:spacing w:line="360" w:before="105" w:after="105" w:lineRule="auto"/>
      </w:pPr>
      <w:r>
        <w:rPr>
          <w:rFonts w:eastAsia="inter" w:cs="inter" w:ascii="inter" w:hAnsi="inter"/>
          <w:color w:val="000000"/>
          <w:sz w:val="21"/>
        </w:rPr>
        <w:t xml:space="preserve">Record follow-up corrective actions such as policy updates, staff retraining, and procedural improvements.</w:t>
      </w:r>
    </w:p>
    <w:p>
      <w:pPr>
        <w:numPr>
          <w:ilvl w:val="0"/>
          <w:numId w:val="33"/>
        </w:numPr>
        <w:spacing w:line="360" w:before="105" w:after="105" w:lineRule="auto"/>
      </w:pPr>
      <w:r>
        <w:rPr>
          <w:rFonts w:eastAsia="inter" w:cs="inter" w:ascii="inter" w:hAnsi="inter"/>
          <w:color w:val="000000"/>
          <w:sz w:val="21"/>
        </w:rPr>
        <w:t xml:space="preserve">Maintain records of correspondence with the BA on remediation and any compliance checks or audits performed.</w:t>
      </w:r>
      <w:bookmarkStart w:id="279" w:name="fnref200"/>
      <w:bookmarkEnd w:id="279"/>
      <w:hyperlink w:anchor="fn200">
        <w:r>
          <w:rPr>
            <w:rFonts w:eastAsia="inter" w:cs="inter" w:ascii="inter" w:hAnsi="inter"/>
            <w:color w:val="#000"/>
            <w:sz w:val="21"/>
            <w:u w:val="single"/>
            <w:vertAlign w:val="superscript"/>
          </w:rPr>
          <w:t xml:space="preserve">[200]</w:t>
        </w:r>
      </w:hyperlink>
      <w:bookmarkStart w:id="280" w:name="fnref201"/>
      <w:bookmarkEnd w:id="280"/>
      <w:hyperlink w:anchor="fn201">
        <w:r>
          <w:rPr>
            <w:rFonts w:eastAsia="inter" w:cs="inter" w:ascii="inter" w:hAnsi="inter"/>
            <w:color w:val="#000"/>
            <w:sz w:val="21"/>
            <w:u w:val="single"/>
            <w:vertAlign w:val="superscript"/>
          </w:rPr>
          <w:t xml:space="preserve">[201]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Donna might say: rÆ’s compliance choreography keeps the spotlight on transparency and accountability—tracking every non-TPO share, tightening contracts, tracing every subcontractor footprint, and owning every slip up with solid fixes. That’s how you keep the regulators and the data gods happy.</w:t>
      </w:r>
    </w:p>
    <w:p>
      <w:pPr>
        <w:spacing w:line="360" w:after="210" w:lineRule="auto"/>
      </w:pPr>
      <w:r>
        <w:rPr>
          <w:rFonts w:eastAsia="inter" w:cs="inter" w:ascii="inter" w:hAnsi="inter"/>
          <w:color w:val="000000"/>
        </w:rPr>
        <w:t xml:space="preserve">This ensures airtight HIPAA compliance and a clear audit trail that passes muster every time.</w:t>
      </w:r>
      <w:bookmarkStart w:id="281" w:name="fnref196:1"/>
      <w:bookmarkEnd w:id="281"/>
      <w:hyperlink w:anchor="fn196">
        <w:r>
          <w:rPr>
            <w:rFonts w:eastAsia="inter" w:cs="inter" w:ascii="inter" w:hAnsi="inter"/>
            <w:color w:val="#000"/>
            <w:u w:val="single"/>
            <w:vertAlign w:val="superscript"/>
          </w:rPr>
          <w:t xml:space="preserve">[196]</w:t>
        </w:r>
      </w:hyperlink>
      <w:bookmarkStart w:id="282" w:name="fnref198:1"/>
      <w:bookmarkEnd w:id="282"/>
      <w:hyperlink w:anchor="fn198">
        <w:r>
          <w:rPr>
            <w:rFonts w:eastAsia="inter" w:cs="inter" w:ascii="inter" w:hAnsi="inter"/>
            <w:color w:val="#000"/>
            <w:u w:val="single"/>
            <w:vertAlign w:val="superscript"/>
          </w:rPr>
          <w:t xml:space="preserve">[198]</w:t>
        </w:r>
      </w:hyperlink>
      <w:bookmarkStart w:id="283" w:name="fnref192:1"/>
      <w:bookmarkEnd w:id="283"/>
      <w:hyperlink w:anchor="fn192">
        <w:r>
          <w:rPr>
            <w:rFonts w:eastAsia="inter" w:cs="inter" w:ascii="inter" w:hAnsi="inter"/>
            <w:color w:val="#000"/>
            <w:u w:val="single"/>
            <w:vertAlign w:val="superscript"/>
          </w:rPr>
          <w:t xml:space="preserve">[192]</w:t>
        </w:r>
      </w:hyperlink>
      <w:bookmarkStart w:id="284" w:name="fnref194:2"/>
      <w:bookmarkEnd w:id="284"/>
      <w:hyperlink w:anchor="fn194">
        <w:r>
          <w:rPr>
            <w:rFonts w:eastAsia="inter" w:cs="inter" w:ascii="inter" w:hAnsi="inter"/>
            <w:color w:val="#000"/>
            <w:u w:val="single"/>
            <w:vertAlign w:val="superscript"/>
          </w:rPr>
          <w:t xml:space="preserve">[194]</w:t>
        </w:r>
      </w:hyperlink>
      <w:bookmarkStart w:id="285" w:name="fnref200:1"/>
      <w:bookmarkEnd w:id="285"/>
      <w:hyperlink w:anchor="fn200">
        <w:r>
          <w:rPr>
            <w:rFonts w:eastAsia="inter" w:cs="inter" w:ascii="inter" w:hAnsi="inter"/>
            <w:color w:val="#000"/>
            <w:u w:val="single"/>
            <w:vertAlign w:val="superscript"/>
          </w:rPr>
          <w:t xml:space="preserve">[200]</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Which BA disclosures for treatment payment or operations are explicitly exempt from §164.528 accounting</w:t>
      </w:r>
    </w:p>
    <w:p>
      <w:pPr>
        <w:spacing w:line="360" w:after="210" w:lineRule="auto"/>
      </w:pPr>
      <w:r>
        <w:rPr>
          <w:rFonts w:eastAsia="inter" w:cs="inter" w:ascii="inter" w:hAnsi="inter"/>
          <w:color w:val="000000"/>
        </w:rPr>
        <w:t xml:space="preserve">What minimum documentary proof from a BA lets me rely on their disclosure log entries</w:t>
      </w:r>
      <w:r>
        <w:rPr>
          <w:rFonts w:eastAsia="inter" w:cs="inter" w:ascii="inter" w:hAnsi="inter"/>
          <w:color w:val="000000"/>
        </w:rPr>
        <w:br w:type="textWrapping"/>
      </w:r>
      <w:r>
        <w:rPr>
          <w:rFonts w:eastAsia="inter" w:cs="inter" w:ascii="inter" w:hAnsi="inter"/>
          <w:color w:val="000000"/>
        </w:rPr>
        <w:t xml:space="preserve">How should I trace and record a BA’s subcontractor chain step by step for an accounting</w:t>
      </w:r>
      <w:r>
        <w:rPr>
          <w:rFonts w:eastAsia="inter" w:cs="inter" w:ascii="inter" w:hAnsi="inter"/>
          <w:color w:val="000000"/>
        </w:rPr>
        <w:br w:type="textWrapping"/>
      </w:r>
      <w:r>
        <w:rPr>
          <w:rFonts w:eastAsia="inter" w:cs="inter" w:ascii="inter" w:hAnsi="inter"/>
          <w:color w:val="000000"/>
        </w:rPr>
        <w:t xml:space="preserve">What extra accounting entries must I add when a BA reports disclosures to public health agencies</w:t>
      </w:r>
      <w:r>
        <w:rPr>
          <w:rFonts w:eastAsia="inter" w:cs="inter" w:ascii="inter" w:hAnsi="inter"/>
          <w:color w:val="000000"/>
        </w:rPr>
        <w:br w:type="textWrapping"/>
      </w:r>
      <w:r>
        <w:rPr>
          <w:rFonts w:eastAsia="inter" w:cs="inter" w:ascii="inter" w:hAnsi="inter"/>
          <w:color w:val="000000"/>
        </w:rPr>
        <w:t xml:space="preserve">How should I document mitigation actions I require after a BA’s impermissible PHI disclosure</w:t>
      </w:r>
    </w:p>
    <w:p>
      <w:pPr>
        <w:spacing w:line="360" w:after="210" w:lineRule="auto"/>
      </w:pPr>
      <w:r>
        <w:rPr>
          <w:rFonts w:eastAsia="inter" w:cs="inter" w:ascii="inter" w:hAnsi="inter"/>
          <w:color w:val="000000"/>
        </w:rPr>
        <w:t xml:space="preserve">Here’s a clear, detailed answer addressing each question about Business Associate (BA) disclosures and documentation under HIPAA §164.528 for rÆ:</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Which BA disclosures for treatment, payment, or operations are explicitly exempt from §164.528 accounting?</w:t>
      </w:r>
    </w:p>
    <w:p>
      <w:pPr>
        <w:numPr>
          <w:ilvl w:val="0"/>
          <w:numId w:val="34"/>
        </w:numPr>
        <w:spacing w:line="360" w:before="105" w:after="105" w:lineRule="auto"/>
      </w:pPr>
      <w:r>
        <w:rPr>
          <w:rFonts w:eastAsia="inter" w:cs="inter" w:ascii="inter" w:hAnsi="inter"/>
          <w:color w:val="000000"/>
          <w:sz w:val="21"/>
        </w:rPr>
        <w:t xml:space="preserve">BA disclosures made </w:t>
      </w:r>
      <w:r>
        <w:rPr>
          <w:rFonts w:eastAsia="inter" w:cs="inter" w:ascii="inter" w:hAnsi="inter"/>
          <w:b/>
          <w:color w:val="000000"/>
          <w:sz w:val="21"/>
        </w:rPr>
        <w:t xml:space="preserve">solely for treatment, payment, or healthcare operations (TPO)</w:t>
      </w:r>
      <w:r>
        <w:rPr>
          <w:rFonts w:eastAsia="inter" w:cs="inter" w:ascii="inter" w:hAnsi="inter"/>
          <w:color w:val="000000"/>
          <w:sz w:val="21"/>
        </w:rPr>
        <w:t xml:space="preserve"> purposes are </w:t>
      </w:r>
      <w:r>
        <w:rPr>
          <w:rFonts w:eastAsia="inter" w:cs="inter" w:ascii="inter" w:hAnsi="inter"/>
          <w:b/>
          <w:color w:val="000000"/>
          <w:sz w:val="21"/>
        </w:rPr>
        <w:t xml:space="preserve">exempt</w:t>
      </w:r>
      <w:r>
        <w:rPr>
          <w:rFonts w:eastAsia="inter" w:cs="inter" w:ascii="inter" w:hAnsi="inter"/>
          <w:color w:val="000000"/>
          <w:sz w:val="21"/>
        </w:rPr>
        <w:t xml:space="preserve"> from accounting requirements.</w:t>
      </w:r>
    </w:p>
    <w:p>
      <w:pPr>
        <w:numPr>
          <w:ilvl w:val="0"/>
          <w:numId w:val="34"/>
        </w:numPr>
        <w:spacing w:line="360" w:before="105" w:after="105" w:lineRule="auto"/>
      </w:pPr>
      <w:r>
        <w:rPr>
          <w:rFonts w:eastAsia="inter" w:cs="inter" w:ascii="inter" w:hAnsi="inter"/>
          <w:color w:val="000000"/>
          <w:sz w:val="21"/>
        </w:rPr>
        <w:t xml:space="preserve">Such routine operational disclosures by the BA in support of covered entity functions do not need to be included in the accounting to individuals.</w:t>
      </w:r>
    </w:p>
    <w:p>
      <w:pPr>
        <w:numPr>
          <w:ilvl w:val="0"/>
          <w:numId w:val="34"/>
        </w:numPr>
        <w:spacing w:line="360" w:before="105" w:after="105" w:lineRule="auto"/>
      </w:pPr>
      <w:r>
        <w:rPr>
          <w:rFonts w:eastAsia="inter" w:cs="inter" w:ascii="inter" w:hAnsi="inter"/>
          <w:color w:val="000000"/>
          <w:sz w:val="21"/>
        </w:rPr>
        <w:t xml:space="preserve">Examples include claims processing, care coordination, and health plan administration activities.</w:t>
      </w:r>
      <w:bookmarkStart w:id="286" w:name="fnref208"/>
      <w:bookmarkEnd w:id="286"/>
      <w:hyperlink w:anchor="fn208">
        <w:r>
          <w:rPr>
            <w:rFonts w:eastAsia="inter" w:cs="inter" w:ascii="inter" w:hAnsi="inter"/>
            <w:color w:val="#000"/>
            <w:sz w:val="21"/>
            <w:u w:val="single"/>
            <w:vertAlign w:val="superscript"/>
          </w:rPr>
          <w:t xml:space="preserve">[208]</w:t>
        </w:r>
      </w:hyperlink>
      <w:bookmarkStart w:id="287" w:name="fnref209"/>
      <w:bookmarkEnd w:id="287"/>
      <w:hyperlink w:anchor="fn209">
        <w:r>
          <w:rPr>
            <w:rFonts w:eastAsia="inter" w:cs="inter" w:ascii="inter" w:hAnsi="inter"/>
            <w:color w:val="#000"/>
            <w:sz w:val="21"/>
            <w:u w:val="single"/>
            <w:vertAlign w:val="superscript"/>
          </w:rPr>
          <w:t xml:space="preserve">[209]</w:t>
        </w:r>
      </w:hyperlink>
      <w:bookmarkStart w:id="288" w:name="fnref210"/>
      <w:bookmarkEnd w:id="288"/>
      <w:hyperlink w:anchor="fn210">
        <w:r>
          <w:rPr>
            <w:rFonts w:eastAsia="inter" w:cs="inter" w:ascii="inter" w:hAnsi="inter"/>
            <w:color w:val="#000"/>
            <w:sz w:val="21"/>
            <w:u w:val="single"/>
            <w:vertAlign w:val="superscript"/>
          </w:rPr>
          <w:t xml:space="preserve">[210]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What minimum documentary proof from a BA lets me rely on their disclosure log entries?</w:t>
      </w:r>
    </w:p>
    <w:p>
      <w:pPr>
        <w:numPr>
          <w:ilvl w:val="0"/>
          <w:numId w:val="35"/>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Business Associate Agreement (BAA)</w:t>
      </w:r>
      <w:r>
        <w:rPr>
          <w:rFonts w:eastAsia="inter" w:cs="inter" w:ascii="inter" w:hAnsi="inter"/>
          <w:color w:val="000000"/>
          <w:sz w:val="21"/>
        </w:rPr>
        <w:t xml:space="preserve"> with terms requiring the BA to maintain records of all disclosures in compliance with HIPAA §164.528.</w:t>
      </w:r>
    </w:p>
    <w:p>
      <w:pPr>
        <w:numPr>
          <w:ilvl w:val="0"/>
          <w:numId w:val="35"/>
        </w:numPr>
        <w:spacing w:line="360" w:before="105" w:after="105" w:lineRule="auto"/>
      </w:pPr>
      <w:r>
        <w:rPr>
          <w:rFonts w:eastAsia="inter" w:cs="inter" w:ascii="inter" w:hAnsi="inter"/>
          <w:color w:val="000000"/>
          <w:sz w:val="21"/>
        </w:rPr>
        <w:t xml:space="preserve">Electronic or paper disclosure logs that include key details: date, recipient, purpose, description of PHI disclosed.</w:t>
      </w:r>
    </w:p>
    <w:p>
      <w:pPr>
        <w:numPr>
          <w:ilvl w:val="0"/>
          <w:numId w:val="35"/>
        </w:numPr>
        <w:spacing w:line="360" w:before="105" w:after="105" w:lineRule="auto"/>
      </w:pPr>
      <w:r>
        <w:rPr>
          <w:rFonts w:eastAsia="inter" w:cs="inter" w:ascii="inter" w:hAnsi="inter"/>
          <w:color w:val="000000"/>
          <w:sz w:val="21"/>
        </w:rPr>
        <w:t xml:space="preserve">Periodic attestations or certifications from the BA confirming completeness and accuracy of their disclosure records.</w:t>
      </w:r>
    </w:p>
    <w:p>
      <w:pPr>
        <w:numPr>
          <w:ilvl w:val="0"/>
          <w:numId w:val="35"/>
        </w:numPr>
        <w:spacing w:line="360" w:before="105" w:after="105" w:lineRule="auto"/>
      </w:pPr>
      <w:r>
        <w:rPr>
          <w:rFonts w:eastAsia="inter" w:cs="inter" w:ascii="inter" w:hAnsi="inter"/>
          <w:color w:val="000000"/>
          <w:sz w:val="21"/>
        </w:rPr>
        <w:t xml:space="preserve">Evidence of audit rights and cooperation with oversight requests enhances reliance.</w:t>
      </w:r>
      <w:bookmarkStart w:id="289" w:name="fnref211"/>
      <w:bookmarkEnd w:id="289"/>
      <w:hyperlink w:anchor="fn211">
        <w:r>
          <w:rPr>
            <w:rFonts w:eastAsia="inter" w:cs="inter" w:ascii="inter" w:hAnsi="inter"/>
            <w:color w:val="#000"/>
            <w:sz w:val="21"/>
            <w:u w:val="single"/>
            <w:vertAlign w:val="superscript"/>
          </w:rPr>
          <w:t xml:space="preserve">[211]</w:t>
        </w:r>
      </w:hyperlink>
      <w:bookmarkStart w:id="290" w:name="fnref212"/>
      <w:bookmarkEnd w:id="290"/>
      <w:hyperlink w:anchor="fn212">
        <w:r>
          <w:rPr>
            <w:rFonts w:eastAsia="inter" w:cs="inter" w:ascii="inter" w:hAnsi="inter"/>
            <w:color w:val="#000"/>
            <w:sz w:val="21"/>
            <w:u w:val="single"/>
            <w:vertAlign w:val="superscript"/>
          </w:rPr>
          <w:t xml:space="preserve">[212]</w:t>
        </w:r>
      </w:hyperlink>
      <w:bookmarkStart w:id="291" w:name="fnref213"/>
      <w:bookmarkEnd w:id="291"/>
      <w:hyperlink w:anchor="fn213">
        <w:r>
          <w:rPr>
            <w:rFonts w:eastAsia="inter" w:cs="inter" w:ascii="inter" w:hAnsi="inter"/>
            <w:color w:val="#000"/>
            <w:sz w:val="21"/>
            <w:u w:val="single"/>
            <w:vertAlign w:val="superscript"/>
          </w:rPr>
          <w:t xml:space="preserve">[213]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should I trace and record a BA’s subcontractor chain step by step for an accounting?</w:t>
      </w:r>
    </w:p>
    <w:p>
      <w:pPr>
        <w:numPr>
          <w:ilvl w:val="0"/>
          <w:numId w:val="36"/>
        </w:numPr>
        <w:spacing w:line="360" w:before="105" w:after="105" w:lineRule="auto"/>
      </w:pPr>
      <w:r>
        <w:rPr>
          <w:rFonts w:eastAsia="inter" w:cs="inter" w:ascii="inter" w:hAnsi="inter"/>
          <w:color w:val="000000"/>
          <w:sz w:val="21"/>
        </w:rPr>
        <w:t xml:space="preserve">Require the BA to document disclosure details made by each subcontractor: dates, recipient identities, types of PHI, and reasons for disclosure.</w:t>
      </w:r>
    </w:p>
    <w:p>
      <w:pPr>
        <w:numPr>
          <w:ilvl w:val="0"/>
          <w:numId w:val="36"/>
        </w:numPr>
        <w:spacing w:line="360" w:before="105" w:after="105" w:lineRule="auto"/>
      </w:pPr>
      <w:r>
        <w:rPr>
          <w:rFonts w:eastAsia="inter" w:cs="inter" w:ascii="inter" w:hAnsi="inter"/>
          <w:color w:val="000000"/>
          <w:sz w:val="21"/>
        </w:rPr>
        <w:t xml:space="preserve">Ensure BA contracts with subcontractors include BA-equivalent obligations for record-keeping and disclosure reporting.</w:t>
      </w:r>
    </w:p>
    <w:p>
      <w:pPr>
        <w:numPr>
          <w:ilvl w:val="0"/>
          <w:numId w:val="36"/>
        </w:numPr>
        <w:spacing w:line="360" w:before="105" w:after="105" w:lineRule="auto"/>
      </w:pPr>
      <w:r>
        <w:rPr>
          <w:rFonts w:eastAsia="inter" w:cs="inter" w:ascii="inter" w:hAnsi="inter"/>
          <w:color w:val="000000"/>
          <w:sz w:val="21"/>
        </w:rPr>
        <w:t xml:space="preserve">The BA compiles all subcontractor disclosure data into consolidated logs for submission to the covered entity.</w:t>
      </w:r>
    </w:p>
    <w:p>
      <w:pPr>
        <w:numPr>
          <w:ilvl w:val="0"/>
          <w:numId w:val="36"/>
        </w:numPr>
        <w:spacing w:line="360" w:before="105" w:after="105" w:lineRule="auto"/>
      </w:pPr>
      <w:r>
        <w:rPr>
          <w:rFonts w:eastAsia="inter" w:cs="inter" w:ascii="inter" w:hAnsi="inter"/>
          <w:color w:val="000000"/>
          <w:sz w:val="21"/>
        </w:rPr>
        <w:t xml:space="preserve">The covered entity records the full chain in its accounting system to maintain traceability and accountability.</w:t>
      </w:r>
      <w:bookmarkStart w:id="292" w:name="fnref213:1"/>
      <w:bookmarkEnd w:id="292"/>
      <w:hyperlink w:anchor="fn213">
        <w:r>
          <w:rPr>
            <w:rFonts w:eastAsia="inter" w:cs="inter" w:ascii="inter" w:hAnsi="inter"/>
            <w:color w:val="#000"/>
            <w:sz w:val="21"/>
            <w:u w:val="single"/>
            <w:vertAlign w:val="superscript"/>
          </w:rPr>
          <w:t xml:space="preserve">[213]</w:t>
        </w:r>
      </w:hyperlink>
      <w:bookmarkStart w:id="293" w:name="fnref214"/>
      <w:bookmarkEnd w:id="293"/>
      <w:hyperlink w:anchor="fn214">
        <w:r>
          <w:rPr>
            <w:rFonts w:eastAsia="inter" w:cs="inter" w:ascii="inter" w:hAnsi="inter"/>
            <w:color w:val="#000"/>
            <w:sz w:val="21"/>
            <w:u w:val="single"/>
            <w:vertAlign w:val="superscript"/>
          </w:rPr>
          <w:t xml:space="preserve">[214]</w:t>
        </w:r>
      </w:hyperlink>
      <w:bookmarkStart w:id="294" w:name="fnref215"/>
      <w:bookmarkEnd w:id="294"/>
      <w:hyperlink w:anchor="fn215">
        <w:r>
          <w:rPr>
            <w:rFonts w:eastAsia="inter" w:cs="inter" w:ascii="inter" w:hAnsi="inter"/>
            <w:color w:val="#000"/>
            <w:sz w:val="21"/>
            <w:u w:val="single"/>
            <w:vertAlign w:val="superscript"/>
          </w:rPr>
          <w:t xml:space="preserve">[215]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What extra accounting entries must I add when a BA reports disclosures to public health agencies?</w:t>
      </w:r>
    </w:p>
    <w:p>
      <w:pPr>
        <w:numPr>
          <w:ilvl w:val="0"/>
          <w:numId w:val="37"/>
        </w:numPr>
        <w:spacing w:line="360" w:before="105" w:after="105" w:lineRule="auto"/>
      </w:pPr>
      <w:r>
        <w:rPr>
          <w:rFonts w:eastAsia="inter" w:cs="inter" w:ascii="inter" w:hAnsi="inter"/>
          <w:color w:val="000000"/>
          <w:sz w:val="21"/>
        </w:rPr>
        <w:t xml:space="preserve">Include entries for the public health authority’s identity, date of disclosure, type of PHI involved, and the </w:t>
      </w:r>
      <w:r>
        <w:rPr>
          <w:rFonts w:eastAsia="inter" w:cs="inter" w:ascii="inter" w:hAnsi="inter"/>
          <w:b/>
          <w:color w:val="000000"/>
          <w:sz w:val="21"/>
        </w:rPr>
        <w:t xml:space="preserve">legal authority</w:t>
      </w:r>
      <w:r>
        <w:rPr>
          <w:rFonts w:eastAsia="inter" w:cs="inter" w:ascii="inter" w:hAnsi="inter"/>
          <w:color w:val="000000"/>
          <w:sz w:val="21"/>
        </w:rPr>
        <w:t xml:space="preserve"> justifying the disclosure.</w:t>
      </w:r>
    </w:p>
    <w:p>
      <w:pPr>
        <w:numPr>
          <w:ilvl w:val="0"/>
          <w:numId w:val="37"/>
        </w:numPr>
        <w:spacing w:line="360" w:before="105" w:after="105" w:lineRule="auto"/>
      </w:pPr>
      <w:r>
        <w:rPr>
          <w:rFonts w:eastAsia="inter" w:cs="inter" w:ascii="inter" w:hAnsi="inter"/>
          <w:color w:val="000000"/>
          <w:sz w:val="21"/>
        </w:rPr>
        <w:t xml:space="preserve">Annotate entries to indicate the disclosure relates to mandated public health reporting.</w:t>
      </w:r>
    </w:p>
    <w:p>
      <w:pPr>
        <w:numPr>
          <w:ilvl w:val="0"/>
          <w:numId w:val="37"/>
        </w:numPr>
        <w:spacing w:line="360" w:before="105" w:after="105" w:lineRule="auto"/>
      </w:pPr>
      <w:r>
        <w:rPr>
          <w:rFonts w:eastAsia="inter" w:cs="inter" w:ascii="inter" w:hAnsi="inter"/>
          <w:color w:val="000000"/>
          <w:sz w:val="21"/>
        </w:rPr>
        <w:t xml:space="preserve">Note whether the disclosure is exempt from individual accounting requests under specific regulatory provisions but still documented internally.</w:t>
      </w:r>
      <w:bookmarkStart w:id="295" w:name="fnref210:1"/>
      <w:bookmarkEnd w:id="295"/>
      <w:hyperlink w:anchor="fn210">
        <w:r>
          <w:rPr>
            <w:rFonts w:eastAsia="inter" w:cs="inter" w:ascii="inter" w:hAnsi="inter"/>
            <w:color w:val="#000"/>
            <w:sz w:val="21"/>
            <w:u w:val="single"/>
            <w:vertAlign w:val="superscript"/>
          </w:rPr>
          <w:t xml:space="preserve">[210]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should I document mitigation actions I require after a BA’s impermissible PHI disclosure?</w:t>
      </w:r>
    </w:p>
    <w:p>
      <w:pPr>
        <w:numPr>
          <w:ilvl w:val="0"/>
          <w:numId w:val="38"/>
        </w:numPr>
        <w:spacing w:line="360" w:before="105" w:after="105" w:lineRule="auto"/>
      </w:pPr>
      <w:r>
        <w:rPr>
          <w:rFonts w:eastAsia="inter" w:cs="inter" w:ascii="inter" w:hAnsi="inter"/>
          <w:color w:val="000000"/>
          <w:sz w:val="21"/>
        </w:rPr>
        <w:t xml:space="preserve">Record a detailed incident report describing the impermissible disclosure event.</w:t>
      </w:r>
    </w:p>
    <w:p>
      <w:pPr>
        <w:numPr>
          <w:ilvl w:val="0"/>
          <w:numId w:val="38"/>
        </w:numPr>
        <w:spacing w:line="360" w:before="105" w:after="105" w:lineRule="auto"/>
      </w:pPr>
      <w:r>
        <w:rPr>
          <w:rFonts w:eastAsia="inter" w:cs="inter" w:ascii="inter" w:hAnsi="inter"/>
          <w:color w:val="000000"/>
          <w:sz w:val="21"/>
        </w:rPr>
        <w:t xml:space="preserve">Document immediate response actions: notification, containment, recovery efforts.</w:t>
      </w:r>
    </w:p>
    <w:p>
      <w:pPr>
        <w:numPr>
          <w:ilvl w:val="0"/>
          <w:numId w:val="38"/>
        </w:numPr>
        <w:spacing w:line="360" w:before="105" w:after="105" w:lineRule="auto"/>
      </w:pPr>
      <w:r>
        <w:rPr>
          <w:rFonts w:eastAsia="inter" w:cs="inter" w:ascii="inter" w:hAnsi="inter"/>
          <w:color w:val="000000"/>
          <w:sz w:val="21"/>
        </w:rPr>
        <w:t xml:space="preserve">Log corrective steps imposed on the BA: training, policy changes, audits, or sanctions.</w:t>
      </w:r>
    </w:p>
    <w:p>
      <w:pPr>
        <w:numPr>
          <w:ilvl w:val="0"/>
          <w:numId w:val="38"/>
        </w:numPr>
        <w:spacing w:line="360" w:before="105" w:after="105" w:lineRule="auto"/>
      </w:pPr>
      <w:r>
        <w:rPr>
          <w:rFonts w:eastAsia="inter" w:cs="inter" w:ascii="inter" w:hAnsi="inter"/>
          <w:color w:val="000000"/>
          <w:sz w:val="21"/>
        </w:rPr>
        <w:t xml:space="preserve">Keep evidence of communications between the covered entity and BA regarding resolution.</w:t>
      </w:r>
    </w:p>
    <w:p>
      <w:pPr>
        <w:numPr>
          <w:ilvl w:val="0"/>
          <w:numId w:val="38"/>
        </w:numPr>
        <w:spacing w:line="360" w:before="105" w:after="105" w:lineRule="auto"/>
      </w:pPr>
      <w:r>
        <w:rPr>
          <w:rFonts w:eastAsia="inter" w:cs="inter" w:ascii="inter" w:hAnsi="inter"/>
          <w:color w:val="000000"/>
          <w:sz w:val="21"/>
        </w:rPr>
        <w:t xml:space="preserve">Update risk management and compliance records reflecting lessons learned and preventive measures.</w:t>
      </w:r>
      <w:bookmarkStart w:id="296" w:name="fnref216"/>
      <w:bookmarkEnd w:id="296"/>
      <w:hyperlink w:anchor="fn216">
        <w:r>
          <w:rPr>
            <w:rFonts w:eastAsia="inter" w:cs="inter" w:ascii="inter" w:hAnsi="inter"/>
            <w:color w:val="#000"/>
            <w:sz w:val="21"/>
            <w:u w:val="single"/>
            <w:vertAlign w:val="superscript"/>
          </w:rPr>
          <w:t xml:space="preserve">[216]</w:t>
        </w:r>
      </w:hyperlink>
      <w:bookmarkStart w:id="297" w:name="fnref217"/>
      <w:bookmarkEnd w:id="297"/>
      <w:hyperlink w:anchor="fn217">
        <w:r>
          <w:rPr>
            <w:rFonts w:eastAsia="inter" w:cs="inter" w:ascii="inter" w:hAnsi="inter"/>
            <w:color w:val="#000"/>
            <w:sz w:val="21"/>
            <w:u w:val="single"/>
            <w:vertAlign w:val="superscript"/>
          </w:rPr>
          <w:t xml:space="preserve">[217]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Donna would say: rÆ’s compliance is a masterclass in clarity—flagging exempt TPO disclosures, demanding rock-solid logs and contracts, mapping every subcontractor move, spotlighting public health shares with legal flags, and owning every misstep with proactive fixes.</w:t>
      </w:r>
    </w:p>
    <w:p>
      <w:pPr>
        <w:spacing w:line="360" w:after="210" w:lineRule="auto"/>
      </w:pPr>
      <w:r>
        <w:rPr>
          <w:rFonts w:eastAsia="inter" w:cs="inter" w:ascii="inter" w:hAnsi="inter"/>
          <w:color w:val="000000"/>
        </w:rPr>
        <w:t xml:space="preserve">This approach ensures airtight HIPAA compliance and a transparent trail that stands up to scrutiny.</w:t>
      </w:r>
      <w:bookmarkStart w:id="298" w:name="fnref212:1"/>
      <w:bookmarkEnd w:id="298"/>
      <w:hyperlink w:anchor="fn212">
        <w:r>
          <w:rPr>
            <w:rFonts w:eastAsia="inter" w:cs="inter" w:ascii="inter" w:hAnsi="inter"/>
            <w:color w:val="#000"/>
            <w:u w:val="single"/>
            <w:vertAlign w:val="superscript"/>
          </w:rPr>
          <w:t xml:space="preserve">[212]</w:t>
        </w:r>
      </w:hyperlink>
      <w:bookmarkStart w:id="299" w:name="fnref214:1"/>
      <w:bookmarkEnd w:id="299"/>
      <w:hyperlink w:anchor="fn214">
        <w:r>
          <w:rPr>
            <w:rFonts w:eastAsia="inter" w:cs="inter" w:ascii="inter" w:hAnsi="inter"/>
            <w:color w:val="#000"/>
            <w:u w:val="single"/>
            <w:vertAlign w:val="superscript"/>
          </w:rPr>
          <w:t xml:space="preserve">[214]</w:t>
        </w:r>
      </w:hyperlink>
      <w:bookmarkStart w:id="300" w:name="fnref208:1"/>
      <w:bookmarkEnd w:id="300"/>
      <w:hyperlink w:anchor="fn208">
        <w:r>
          <w:rPr>
            <w:rFonts w:eastAsia="inter" w:cs="inter" w:ascii="inter" w:hAnsi="inter"/>
            <w:color w:val="#000"/>
            <w:u w:val="single"/>
            <w:vertAlign w:val="superscript"/>
          </w:rPr>
          <w:t xml:space="preserve">[208]</w:t>
        </w:r>
      </w:hyperlink>
      <w:bookmarkStart w:id="301" w:name="fnref210:2"/>
      <w:bookmarkEnd w:id="301"/>
      <w:hyperlink w:anchor="fn210">
        <w:r>
          <w:rPr>
            <w:rFonts w:eastAsia="inter" w:cs="inter" w:ascii="inter" w:hAnsi="inter"/>
            <w:color w:val="#000"/>
            <w:u w:val="single"/>
            <w:vertAlign w:val="superscript"/>
          </w:rPr>
          <w:t xml:space="preserve">[210]</w:t>
        </w:r>
      </w:hyperlink>
      <w:bookmarkStart w:id="302" w:name="fnref216:1"/>
      <w:bookmarkEnd w:id="302"/>
      <w:hyperlink w:anchor="fn216">
        <w:r>
          <w:rPr>
            <w:rFonts w:eastAsia="inter" w:cs="inter" w:ascii="inter" w:hAnsi="inter"/>
            <w:color w:val="#000"/>
            <w:u w:val="single"/>
            <w:vertAlign w:val="superscript"/>
          </w:rPr>
          <w:t xml:space="preserve">[216]</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Which specific BA disclosures for treatment, payment, or operations are exempt from §164.528 accounting</w:t>
      </w:r>
    </w:p>
    <w:p>
      <w:pPr>
        <w:spacing w:line="360" w:after="210" w:lineRule="auto"/>
      </w:pPr>
      <w:r>
        <w:rPr>
          <w:rFonts w:eastAsia="inter" w:cs="inter" w:ascii="inter" w:hAnsi="inter"/>
          <w:color w:val="000000"/>
        </w:rPr>
        <w:t xml:space="preserve">What minimum written evidence from a BA lets me rely on their disclosure log entries</w:t>
      </w:r>
      <w:r>
        <w:rPr>
          <w:rFonts w:eastAsia="inter" w:cs="inter" w:ascii="inter" w:hAnsi="inter"/>
          <w:color w:val="000000"/>
        </w:rPr>
        <w:br w:type="textWrapping"/>
      </w:r>
      <w:r>
        <w:rPr>
          <w:rFonts w:eastAsia="inter" w:cs="inter" w:ascii="inter" w:hAnsi="inter"/>
          <w:color w:val="000000"/>
        </w:rPr>
        <w:t xml:space="preserve">How do I stepwise trace and record a BA’s subcontractor chain for an accounting</w:t>
      </w:r>
      <w:r>
        <w:rPr>
          <w:rFonts w:eastAsia="inter" w:cs="inter" w:ascii="inter" w:hAnsi="inter"/>
          <w:color w:val="000000"/>
        </w:rPr>
        <w:br w:type="textWrapping"/>
      </w:r>
      <w:r>
        <w:rPr>
          <w:rFonts w:eastAsia="inter" w:cs="inter" w:ascii="inter" w:hAnsi="inter"/>
          <w:color w:val="000000"/>
        </w:rPr>
        <w:t xml:space="preserve">What additional accounting entries are required when a BA reports to public health agencies</w:t>
      </w:r>
      <w:r>
        <w:rPr>
          <w:rFonts w:eastAsia="inter" w:cs="inter" w:ascii="inter" w:hAnsi="inter"/>
          <w:color w:val="000000"/>
        </w:rPr>
        <w:br w:type="textWrapping"/>
      </w:r>
      <w:r>
        <w:rPr>
          <w:rFonts w:eastAsia="inter" w:cs="inter" w:ascii="inter" w:hAnsi="inter"/>
          <w:color w:val="000000"/>
        </w:rPr>
        <w:t xml:space="preserve">How should I document required mitigation after a BA’s impermissible PHI disclosure</w:t>
      </w:r>
    </w:p>
    <w:p>
      <w:pPr>
        <w:spacing w:line="360" w:after="210" w:lineRule="auto"/>
      </w:pPr>
      <w:r>
        <w:rPr>
          <w:rFonts w:eastAsia="inter" w:cs="inter" w:ascii="inter" w:hAnsi="inter"/>
          <w:color w:val="000000"/>
        </w:rPr>
        <w:t xml:space="preserve">Here is a precise answer to the questions based on HIPAA §164.528 and related guidance for rÆ:</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Which specific BA disclosures for treatment, payment, or operations are exempt from §164.528 accounting?</w:t>
      </w:r>
    </w:p>
    <w:p>
      <w:pPr>
        <w:numPr>
          <w:ilvl w:val="0"/>
          <w:numId w:val="39"/>
        </w:numPr>
        <w:spacing w:line="360" w:before="105" w:after="105" w:lineRule="auto"/>
      </w:pPr>
      <w:r>
        <w:rPr>
          <w:rFonts w:eastAsia="inter" w:cs="inter" w:ascii="inter" w:hAnsi="inter"/>
          <w:color w:val="000000"/>
          <w:sz w:val="21"/>
        </w:rPr>
        <w:t xml:space="preserve">All disclosures made by BAs </w:t>
      </w:r>
      <w:r>
        <w:rPr>
          <w:rFonts w:eastAsia="inter" w:cs="inter" w:ascii="inter" w:hAnsi="inter"/>
          <w:b/>
          <w:color w:val="000000"/>
          <w:sz w:val="21"/>
        </w:rPr>
        <w:t xml:space="preserve">solely for treatment, payment, or healthcare operations (TPO)</w:t>
      </w:r>
      <w:r>
        <w:rPr>
          <w:rFonts w:eastAsia="inter" w:cs="inter" w:ascii="inter" w:hAnsi="inter"/>
          <w:color w:val="000000"/>
          <w:sz w:val="21"/>
        </w:rPr>
        <w:t xml:space="preserve"> purposes are explicitly </w:t>
      </w:r>
      <w:r>
        <w:rPr>
          <w:rFonts w:eastAsia="inter" w:cs="inter" w:ascii="inter" w:hAnsi="inter"/>
          <w:b/>
          <w:color w:val="000000"/>
          <w:sz w:val="21"/>
        </w:rPr>
        <w:t xml:space="preserve">exempt</w:t>
      </w:r>
      <w:r>
        <w:rPr>
          <w:rFonts w:eastAsia="inter" w:cs="inter" w:ascii="inter" w:hAnsi="inter"/>
          <w:color w:val="000000"/>
          <w:sz w:val="21"/>
        </w:rPr>
        <w:t xml:space="preserve"> from the accounting of disclosures.</w:t>
      </w:r>
    </w:p>
    <w:p>
      <w:pPr>
        <w:numPr>
          <w:ilvl w:val="0"/>
          <w:numId w:val="39"/>
        </w:numPr>
        <w:spacing w:line="360" w:before="105" w:after="105" w:lineRule="auto"/>
      </w:pPr>
      <w:r>
        <w:rPr>
          <w:rFonts w:eastAsia="inter" w:cs="inter" w:ascii="inter" w:hAnsi="inter"/>
          <w:color w:val="000000"/>
          <w:sz w:val="21"/>
        </w:rPr>
        <w:t xml:space="preserve">This includes disclosures necessary for claims processing, care coordination, quality improvement, and other standard healthcare operations.</w:t>
      </w:r>
    </w:p>
    <w:p>
      <w:pPr>
        <w:numPr>
          <w:ilvl w:val="0"/>
          <w:numId w:val="39"/>
        </w:numPr>
        <w:spacing w:line="360" w:before="105" w:after="105" w:lineRule="auto"/>
      </w:pPr>
      <w:r>
        <w:rPr>
          <w:rFonts w:eastAsia="inter" w:cs="inter" w:ascii="inter" w:hAnsi="inter"/>
          <w:color w:val="000000"/>
          <w:sz w:val="21"/>
        </w:rPr>
        <w:t xml:space="preserve">The exemption applies regardless of the frequency or volume of such disclosures.</w:t>
      </w:r>
      <w:bookmarkStart w:id="303" w:name="fnref224"/>
      <w:bookmarkEnd w:id="303"/>
      <w:hyperlink w:anchor="fn224">
        <w:r>
          <w:rPr>
            <w:rFonts w:eastAsia="inter" w:cs="inter" w:ascii="inter" w:hAnsi="inter"/>
            <w:color w:val="#000"/>
            <w:sz w:val="21"/>
            <w:u w:val="single"/>
            <w:vertAlign w:val="superscript"/>
          </w:rPr>
          <w:t xml:space="preserve">[224]</w:t>
        </w:r>
      </w:hyperlink>
      <w:bookmarkStart w:id="304" w:name="fnref225"/>
      <w:bookmarkEnd w:id="304"/>
      <w:hyperlink w:anchor="fn225">
        <w:r>
          <w:rPr>
            <w:rFonts w:eastAsia="inter" w:cs="inter" w:ascii="inter" w:hAnsi="inter"/>
            <w:color w:val="#000"/>
            <w:sz w:val="21"/>
            <w:u w:val="single"/>
            <w:vertAlign w:val="superscript"/>
          </w:rPr>
          <w:t xml:space="preserve">[225]</w:t>
        </w:r>
      </w:hyperlink>
      <w:bookmarkStart w:id="305" w:name="fnref226"/>
      <w:bookmarkEnd w:id="305"/>
      <w:hyperlink w:anchor="fn226">
        <w:r>
          <w:rPr>
            <w:rFonts w:eastAsia="inter" w:cs="inter" w:ascii="inter" w:hAnsi="inter"/>
            <w:color w:val="#000"/>
            <w:sz w:val="21"/>
            <w:u w:val="single"/>
            <w:vertAlign w:val="superscript"/>
          </w:rPr>
          <w:t xml:space="preserve">[226]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What minimum written evidence from a BA lets me rely on their disclosure log entries?</w:t>
      </w:r>
    </w:p>
    <w:p>
      <w:pPr>
        <w:numPr>
          <w:ilvl w:val="0"/>
          <w:numId w:val="40"/>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signed Business Associate Agreement (BAA)</w:t>
      </w:r>
      <w:r>
        <w:rPr>
          <w:rFonts w:eastAsia="inter" w:cs="inter" w:ascii="inter" w:hAnsi="inter"/>
          <w:color w:val="000000"/>
          <w:sz w:val="21"/>
        </w:rPr>
        <w:t xml:space="preserve"> including provisions that:</w:t>
      </w:r>
    </w:p>
    <w:p>
      <w:pPr>
        <w:numPr>
          <w:ilvl w:val="1"/>
          <w:numId w:val="40"/>
        </w:numPr>
        <w:spacing w:line="360" w:before="105" w:after="105" w:lineRule="auto"/>
      </w:pPr>
      <w:r>
        <w:rPr>
          <w:rFonts w:eastAsia="inter" w:cs="inter" w:ascii="inter" w:hAnsi="inter"/>
          <w:color w:val="000000"/>
          <w:sz w:val="21"/>
        </w:rPr>
        <w:t xml:space="preserve">BA will maintain accurate, complete logs of all PHI disclosures required for accounting.</w:t>
      </w:r>
    </w:p>
    <w:p>
      <w:pPr>
        <w:numPr>
          <w:ilvl w:val="1"/>
          <w:numId w:val="40"/>
        </w:numPr>
        <w:spacing w:line="360" w:before="105" w:after="105" w:lineRule="auto"/>
      </w:pPr>
      <w:r>
        <w:rPr>
          <w:rFonts w:eastAsia="inter" w:cs="inter" w:ascii="inter" w:hAnsi="inter"/>
          <w:color w:val="000000"/>
          <w:sz w:val="21"/>
        </w:rPr>
        <w:t xml:space="preserve">BA will provide access to those records to the covered entity.</w:t>
      </w:r>
    </w:p>
    <w:p>
      <w:pPr>
        <w:numPr>
          <w:ilvl w:val="1"/>
          <w:numId w:val="40"/>
        </w:numPr>
        <w:spacing w:line="360" w:before="105" w:after="105" w:lineRule="auto"/>
      </w:pPr>
      <w:r>
        <w:rPr>
          <w:rFonts w:eastAsia="inter" w:cs="inter" w:ascii="inter" w:hAnsi="inter"/>
          <w:color w:val="000000"/>
          <w:sz w:val="21"/>
        </w:rPr>
        <w:t xml:space="preserve">BA will comply with HIPAA requirements, including breach notification.</w:t>
      </w:r>
    </w:p>
    <w:p>
      <w:pPr>
        <w:numPr>
          <w:ilvl w:val="0"/>
          <w:numId w:val="40"/>
        </w:numPr>
        <w:spacing w:line="360" w:before="105" w:after="105" w:lineRule="auto"/>
      </w:pPr>
      <w:r>
        <w:rPr>
          <w:rFonts w:eastAsia="inter" w:cs="inter" w:ascii="inter" w:hAnsi="inter"/>
          <w:color w:val="000000"/>
          <w:sz w:val="21"/>
        </w:rPr>
        <w:t xml:space="preserve">Receipt of </w:t>
      </w:r>
      <w:r>
        <w:rPr>
          <w:rFonts w:eastAsia="inter" w:cs="inter" w:ascii="inter" w:hAnsi="inter"/>
          <w:b/>
          <w:color w:val="000000"/>
          <w:sz w:val="21"/>
        </w:rPr>
        <w:t xml:space="preserve">periodic attestations or certifications</w:t>
      </w:r>
      <w:r>
        <w:rPr>
          <w:rFonts w:eastAsia="inter" w:cs="inter" w:ascii="inter" w:hAnsi="inter"/>
          <w:color w:val="000000"/>
          <w:sz w:val="21"/>
        </w:rPr>
        <w:t xml:space="preserve"> from the BA confirming the accuracy and completeness of their disclosure logs.</w:t>
      </w:r>
    </w:p>
    <w:p>
      <w:pPr>
        <w:numPr>
          <w:ilvl w:val="0"/>
          <w:numId w:val="40"/>
        </w:numPr>
        <w:spacing w:line="360" w:before="105" w:after="105" w:lineRule="auto"/>
      </w:pPr>
      <w:r>
        <w:rPr>
          <w:rFonts w:eastAsia="inter" w:cs="inter" w:ascii="inter" w:hAnsi="inter"/>
          <w:color w:val="000000"/>
          <w:sz w:val="21"/>
        </w:rPr>
        <w:t xml:space="preserve">Availability of electronic or paper disclosure logs in formats that are auditable and accessible upon request.</w:t>
      </w:r>
      <w:bookmarkStart w:id="306" w:name="fnref227"/>
      <w:bookmarkEnd w:id="306"/>
      <w:hyperlink w:anchor="fn227">
        <w:r>
          <w:rPr>
            <w:rFonts w:eastAsia="inter" w:cs="inter" w:ascii="inter" w:hAnsi="inter"/>
            <w:color w:val="#000"/>
            <w:sz w:val="21"/>
            <w:u w:val="single"/>
            <w:vertAlign w:val="superscript"/>
          </w:rPr>
          <w:t xml:space="preserve">[227]</w:t>
        </w:r>
      </w:hyperlink>
      <w:bookmarkStart w:id="307" w:name="fnref228"/>
      <w:bookmarkEnd w:id="307"/>
      <w:hyperlink w:anchor="fn228">
        <w:r>
          <w:rPr>
            <w:rFonts w:eastAsia="inter" w:cs="inter" w:ascii="inter" w:hAnsi="inter"/>
            <w:color w:val="#000"/>
            <w:sz w:val="21"/>
            <w:u w:val="single"/>
            <w:vertAlign w:val="superscript"/>
          </w:rPr>
          <w:t xml:space="preserve">[228]</w:t>
        </w:r>
      </w:hyperlink>
      <w:bookmarkStart w:id="308" w:name="fnref229"/>
      <w:bookmarkEnd w:id="308"/>
      <w:hyperlink w:anchor="fn229">
        <w:r>
          <w:rPr>
            <w:rFonts w:eastAsia="inter" w:cs="inter" w:ascii="inter" w:hAnsi="inter"/>
            <w:color w:val="#000"/>
            <w:sz w:val="21"/>
            <w:u w:val="single"/>
            <w:vertAlign w:val="superscript"/>
          </w:rPr>
          <w:t xml:space="preserve">[229]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do I stepwise trace and record a BA’s subcontractor chain for an accounting?</w:t>
      </w:r>
    </w:p>
    <w:p>
      <w:pPr>
        <w:numPr>
          <w:ilvl w:val="0"/>
          <w:numId w:val="41"/>
        </w:numPr>
        <w:spacing w:line="360" w:before="105" w:after="105" w:lineRule="auto"/>
      </w:pPr>
      <w:r>
        <w:rPr>
          <w:rFonts w:eastAsia="inter" w:cs="inter" w:ascii="inter" w:hAnsi="inter"/>
          <w:color w:val="000000"/>
          <w:sz w:val="21"/>
        </w:rPr>
        <w:t xml:space="preserve">Ensure the BA has signed subcontractor agreements requiring the subcontractors to:</w:t>
      </w:r>
    </w:p>
    <w:p>
      <w:pPr>
        <w:numPr>
          <w:ilvl w:val="1"/>
          <w:numId w:val="41"/>
        </w:numPr>
        <w:spacing w:line="360" w:before="105" w:after="105" w:lineRule="auto"/>
      </w:pPr>
      <w:r>
        <w:rPr>
          <w:rFonts w:eastAsia="inter" w:cs="inter" w:ascii="inter" w:hAnsi="inter"/>
          <w:color w:val="000000"/>
          <w:sz w:val="21"/>
        </w:rPr>
        <w:t xml:space="preserve">Maintain disclosure logs compliant with HIPAA.</w:t>
      </w:r>
    </w:p>
    <w:p>
      <w:pPr>
        <w:numPr>
          <w:ilvl w:val="1"/>
          <w:numId w:val="41"/>
        </w:numPr>
        <w:spacing w:line="360" w:before="105" w:after="105" w:lineRule="auto"/>
      </w:pPr>
      <w:r>
        <w:rPr>
          <w:rFonts w:eastAsia="inter" w:cs="inter" w:ascii="inter" w:hAnsi="inter"/>
          <w:color w:val="000000"/>
          <w:sz w:val="21"/>
        </w:rPr>
        <w:t xml:space="preserve">Report disclosures to the BA timely.</w:t>
      </w:r>
    </w:p>
    <w:p>
      <w:pPr>
        <w:numPr>
          <w:ilvl w:val="0"/>
          <w:numId w:val="41"/>
        </w:numPr>
        <w:spacing w:line="360" w:before="105" w:after="105" w:lineRule="auto"/>
      </w:pPr>
      <w:r>
        <w:rPr>
          <w:rFonts w:eastAsia="inter" w:cs="inter" w:ascii="inter" w:hAnsi="inter"/>
          <w:color w:val="000000"/>
          <w:sz w:val="21"/>
        </w:rPr>
        <w:t xml:space="preserve">BA collects and consolidates all subcontractor disclosure records.</w:t>
      </w:r>
    </w:p>
    <w:p>
      <w:pPr>
        <w:numPr>
          <w:ilvl w:val="0"/>
          <w:numId w:val="41"/>
        </w:numPr>
        <w:spacing w:line="360" w:before="105" w:after="105" w:lineRule="auto"/>
      </w:pPr>
      <w:r>
        <w:rPr>
          <w:rFonts w:eastAsia="inter" w:cs="inter" w:ascii="inter" w:hAnsi="inter"/>
          <w:color w:val="000000"/>
          <w:sz w:val="21"/>
        </w:rPr>
        <w:t xml:space="preserve">BA submits consolidated logs including subcontractor disclosures to the covered entity.</w:t>
      </w:r>
    </w:p>
    <w:p>
      <w:pPr>
        <w:numPr>
          <w:ilvl w:val="0"/>
          <w:numId w:val="41"/>
        </w:numPr>
        <w:spacing w:line="360" w:before="105" w:after="105" w:lineRule="auto"/>
      </w:pPr>
      <w:r>
        <w:rPr>
          <w:rFonts w:eastAsia="inter" w:cs="inter" w:ascii="inter" w:hAnsi="inter"/>
          <w:color w:val="000000"/>
          <w:sz w:val="21"/>
        </w:rPr>
        <w:t xml:space="preserve">Covered entity records these in the master accounting system, documenting:</w:t>
      </w:r>
    </w:p>
    <w:p>
      <w:pPr>
        <w:numPr>
          <w:ilvl w:val="1"/>
          <w:numId w:val="41"/>
        </w:numPr>
        <w:spacing w:line="360" w:before="105" w:after="105" w:lineRule="auto"/>
      </w:pPr>
      <w:r>
        <w:rPr>
          <w:rFonts w:eastAsia="inter" w:cs="inter" w:ascii="inter" w:hAnsi="inter"/>
          <w:color w:val="000000"/>
          <w:sz w:val="21"/>
        </w:rPr>
        <w:t xml:space="preserve">Each step of the subcontractor disclosure chain.</w:t>
      </w:r>
    </w:p>
    <w:p>
      <w:pPr>
        <w:numPr>
          <w:ilvl w:val="1"/>
          <w:numId w:val="41"/>
        </w:numPr>
        <w:spacing w:line="360" w:before="105" w:after="105" w:lineRule="auto"/>
      </w:pPr>
      <w:r>
        <w:rPr>
          <w:rFonts w:eastAsia="inter" w:cs="inter" w:ascii="inter" w:hAnsi="inter"/>
          <w:color w:val="000000"/>
          <w:sz w:val="21"/>
        </w:rPr>
        <w:t xml:space="preserve">Dates, recipients, types of PHI, and legal basis for each disclosure.</w:t>
      </w:r>
    </w:p>
    <w:p>
      <w:pPr>
        <w:numPr>
          <w:ilvl w:val="0"/>
          <w:numId w:val="41"/>
        </w:numPr>
        <w:spacing w:line="360" w:before="105" w:after="105" w:lineRule="auto"/>
      </w:pPr>
      <w:r>
        <w:rPr>
          <w:rFonts w:eastAsia="inter" w:cs="inter" w:ascii="inter" w:hAnsi="inter"/>
          <w:color w:val="000000"/>
          <w:sz w:val="21"/>
        </w:rPr>
        <w:t xml:space="preserve">Maintain comprehensive traceability in the event of audits or individual requests.</w:t>
      </w:r>
      <w:bookmarkStart w:id="309" w:name="fnref229:1"/>
      <w:bookmarkEnd w:id="309"/>
      <w:hyperlink w:anchor="fn229">
        <w:r>
          <w:rPr>
            <w:rFonts w:eastAsia="inter" w:cs="inter" w:ascii="inter" w:hAnsi="inter"/>
            <w:color w:val="#000"/>
            <w:sz w:val="21"/>
            <w:u w:val="single"/>
            <w:vertAlign w:val="superscript"/>
          </w:rPr>
          <w:t xml:space="preserve">[229]</w:t>
        </w:r>
      </w:hyperlink>
      <w:bookmarkStart w:id="310" w:name="fnref230"/>
      <w:bookmarkEnd w:id="310"/>
      <w:hyperlink w:anchor="fn230">
        <w:r>
          <w:rPr>
            <w:rFonts w:eastAsia="inter" w:cs="inter" w:ascii="inter" w:hAnsi="inter"/>
            <w:color w:val="#000"/>
            <w:sz w:val="21"/>
            <w:u w:val="single"/>
            <w:vertAlign w:val="superscript"/>
          </w:rPr>
          <w:t xml:space="preserve">[230]</w:t>
        </w:r>
      </w:hyperlink>
      <w:bookmarkStart w:id="311" w:name="fnref231"/>
      <w:bookmarkEnd w:id="311"/>
      <w:hyperlink w:anchor="fn231">
        <w:r>
          <w:rPr>
            <w:rFonts w:eastAsia="inter" w:cs="inter" w:ascii="inter" w:hAnsi="inter"/>
            <w:color w:val="#000"/>
            <w:sz w:val="21"/>
            <w:u w:val="single"/>
            <w:vertAlign w:val="superscript"/>
          </w:rPr>
          <w:t xml:space="preserve">[231]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What additional accounting entries are required when a BA reports disclosures to public health agencies?</w:t>
      </w:r>
    </w:p>
    <w:p>
      <w:pPr>
        <w:numPr>
          <w:ilvl w:val="0"/>
          <w:numId w:val="42"/>
        </w:numPr>
        <w:spacing w:line="360" w:before="105" w:after="105" w:lineRule="auto"/>
      </w:pPr>
      <w:r>
        <w:rPr>
          <w:rFonts w:eastAsia="inter" w:cs="inter" w:ascii="inter" w:hAnsi="inter"/>
          <w:color w:val="000000"/>
          <w:sz w:val="21"/>
        </w:rPr>
        <w:t xml:space="preserve">Log the identity of the </w:t>
      </w:r>
      <w:r>
        <w:rPr>
          <w:rFonts w:eastAsia="inter" w:cs="inter" w:ascii="inter" w:hAnsi="inter"/>
          <w:b/>
          <w:color w:val="000000"/>
          <w:sz w:val="21"/>
        </w:rPr>
        <w:t xml:space="preserve">public health authority</w:t>
      </w:r>
      <w:r>
        <w:rPr>
          <w:rFonts w:eastAsia="inter" w:cs="inter" w:ascii="inter" w:hAnsi="inter"/>
          <w:color w:val="000000"/>
          <w:sz w:val="21"/>
        </w:rPr>
        <w:t xml:space="preserve"> receiving the PHI.</w:t>
      </w:r>
    </w:p>
    <w:p>
      <w:pPr>
        <w:numPr>
          <w:ilvl w:val="0"/>
          <w:numId w:val="42"/>
        </w:numPr>
        <w:spacing w:line="360" w:before="105" w:after="105" w:lineRule="auto"/>
      </w:pPr>
      <w:r>
        <w:rPr>
          <w:rFonts w:eastAsia="inter" w:cs="inter" w:ascii="inter" w:hAnsi="inter"/>
          <w:color w:val="000000"/>
          <w:sz w:val="21"/>
        </w:rPr>
        <w:t xml:space="preserve">Record the </w:t>
      </w:r>
      <w:r>
        <w:rPr>
          <w:rFonts w:eastAsia="inter" w:cs="inter" w:ascii="inter" w:hAnsi="inter"/>
          <w:b/>
          <w:color w:val="000000"/>
          <w:sz w:val="21"/>
        </w:rPr>
        <w:t xml:space="preserve">date</w:t>
      </w:r>
      <w:r>
        <w:rPr>
          <w:rFonts w:eastAsia="inter" w:cs="inter" w:ascii="inter" w:hAnsi="inter"/>
          <w:color w:val="000000"/>
          <w:sz w:val="21"/>
        </w:rPr>
        <w:t xml:space="preserve"> and </w:t>
      </w:r>
      <w:r>
        <w:rPr>
          <w:rFonts w:eastAsia="inter" w:cs="inter" w:ascii="inter" w:hAnsi="inter"/>
          <w:b/>
          <w:color w:val="000000"/>
          <w:sz w:val="21"/>
        </w:rPr>
        <w:t xml:space="preserve">legal authority</w:t>
      </w:r>
      <w:r>
        <w:rPr>
          <w:rFonts w:eastAsia="inter" w:cs="inter" w:ascii="inter" w:hAnsi="inter"/>
          <w:color w:val="000000"/>
          <w:sz w:val="21"/>
        </w:rPr>
        <w:t xml:space="preserve"> permitting or requiring the disclosure.</w:t>
      </w:r>
    </w:p>
    <w:p>
      <w:pPr>
        <w:numPr>
          <w:ilvl w:val="0"/>
          <w:numId w:val="42"/>
        </w:numPr>
        <w:spacing w:line="360" w:before="105" w:after="105" w:lineRule="auto"/>
      </w:pPr>
      <w:r>
        <w:rPr>
          <w:rFonts w:eastAsia="inter" w:cs="inter" w:ascii="inter" w:hAnsi="inter"/>
          <w:color w:val="000000"/>
          <w:sz w:val="21"/>
        </w:rPr>
        <w:t xml:space="preserve">Note the </w:t>
      </w:r>
      <w:r>
        <w:rPr>
          <w:rFonts w:eastAsia="inter" w:cs="inter" w:ascii="inter" w:hAnsi="inter"/>
          <w:b/>
          <w:color w:val="000000"/>
          <w:sz w:val="21"/>
        </w:rPr>
        <w:t xml:space="preserve">type of information disclosed</w:t>
      </w:r>
      <w:r>
        <w:rPr>
          <w:rFonts w:eastAsia="inter" w:cs="inter" w:ascii="inter" w:hAnsi="inter"/>
          <w:color w:val="000000"/>
          <w:sz w:val="21"/>
        </w:rPr>
        <w:t xml:space="preserve">.</w:t>
      </w:r>
    </w:p>
    <w:p>
      <w:pPr>
        <w:numPr>
          <w:ilvl w:val="0"/>
          <w:numId w:val="42"/>
        </w:numPr>
        <w:spacing w:line="360" w:before="105" w:after="105" w:lineRule="auto"/>
      </w:pPr>
      <w:r>
        <w:rPr>
          <w:rFonts w:eastAsia="inter" w:cs="inter" w:ascii="inter" w:hAnsi="inter"/>
          <w:color w:val="000000"/>
          <w:sz w:val="21"/>
        </w:rPr>
        <w:t xml:space="preserve">Annotate entries to reflect that these are reports made under public health laws.</w:t>
      </w:r>
    </w:p>
    <w:p>
      <w:pPr>
        <w:numPr>
          <w:ilvl w:val="0"/>
          <w:numId w:val="42"/>
        </w:numPr>
        <w:spacing w:line="360" w:before="105" w:after="105" w:lineRule="auto"/>
      </w:pPr>
      <w:r>
        <w:rPr>
          <w:rFonts w:eastAsia="inter" w:cs="inter" w:ascii="inter" w:hAnsi="inter"/>
          <w:color w:val="000000"/>
          <w:sz w:val="21"/>
        </w:rPr>
        <w:t xml:space="preserve">Recognize some public health disclosures may be exempt from individual accounting rights but must be recorded internally for compliance.</w:t>
      </w:r>
      <w:bookmarkStart w:id="312" w:name="fnref232"/>
      <w:bookmarkEnd w:id="312"/>
      <w:hyperlink w:anchor="fn232">
        <w:r>
          <w:rPr>
            <w:rFonts w:eastAsia="inter" w:cs="inter" w:ascii="inter" w:hAnsi="inter"/>
            <w:color w:val="#000"/>
            <w:sz w:val="21"/>
            <w:u w:val="single"/>
            <w:vertAlign w:val="superscript"/>
          </w:rPr>
          <w:t xml:space="preserve">[232]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should I document required mitigation after a BA’s impermissible PHI disclosure?</w:t>
      </w:r>
    </w:p>
    <w:p>
      <w:pPr>
        <w:numPr>
          <w:ilvl w:val="0"/>
          <w:numId w:val="43"/>
        </w:numPr>
        <w:spacing w:line="360" w:before="105" w:after="105" w:lineRule="auto"/>
      </w:pPr>
      <w:r>
        <w:rPr>
          <w:rFonts w:eastAsia="inter" w:cs="inter" w:ascii="inter" w:hAnsi="inter"/>
          <w:color w:val="000000"/>
          <w:sz w:val="21"/>
        </w:rPr>
        <w:t xml:space="preserve">Create a detailed </w:t>
      </w:r>
      <w:r>
        <w:rPr>
          <w:rFonts w:eastAsia="inter" w:cs="inter" w:ascii="inter" w:hAnsi="inter"/>
          <w:b/>
          <w:color w:val="000000"/>
          <w:sz w:val="21"/>
        </w:rPr>
        <w:t xml:space="preserve">incident report</w:t>
      </w:r>
      <w:r>
        <w:rPr>
          <w:rFonts w:eastAsia="inter" w:cs="inter" w:ascii="inter" w:hAnsi="inter"/>
          <w:color w:val="000000"/>
          <w:sz w:val="21"/>
        </w:rPr>
        <w:t xml:space="preserve"> describing:</w:t>
      </w:r>
    </w:p>
    <w:p>
      <w:pPr>
        <w:numPr>
          <w:ilvl w:val="1"/>
          <w:numId w:val="43"/>
        </w:numPr>
        <w:spacing w:line="360" w:before="105" w:after="105" w:lineRule="auto"/>
      </w:pPr>
      <w:r>
        <w:rPr>
          <w:rFonts w:eastAsia="inter" w:cs="inter" w:ascii="inter" w:hAnsi="inter"/>
          <w:color w:val="000000"/>
          <w:sz w:val="21"/>
        </w:rPr>
        <w:t xml:space="preserve">What PHI was disclosed.</w:t>
      </w:r>
    </w:p>
    <w:p>
      <w:pPr>
        <w:numPr>
          <w:ilvl w:val="1"/>
          <w:numId w:val="43"/>
        </w:numPr>
        <w:spacing w:line="360" w:before="105" w:after="105" w:lineRule="auto"/>
      </w:pPr>
      <w:r>
        <w:rPr>
          <w:rFonts w:eastAsia="inter" w:cs="inter" w:ascii="inter" w:hAnsi="inter"/>
          <w:color w:val="000000"/>
          <w:sz w:val="21"/>
        </w:rPr>
        <w:t xml:space="preserve">How the disclosure occurred.</w:t>
      </w:r>
    </w:p>
    <w:p>
      <w:pPr>
        <w:numPr>
          <w:ilvl w:val="1"/>
          <w:numId w:val="43"/>
        </w:numPr>
        <w:spacing w:line="360" w:before="105" w:after="105" w:lineRule="auto"/>
      </w:pPr>
      <w:r>
        <w:rPr>
          <w:rFonts w:eastAsia="inter" w:cs="inter" w:ascii="inter" w:hAnsi="inter"/>
          <w:color w:val="000000"/>
          <w:sz w:val="21"/>
        </w:rPr>
        <w:t xml:space="preserve">Parties involved.</w:t>
      </w:r>
    </w:p>
    <w:p>
      <w:pPr>
        <w:numPr>
          <w:ilvl w:val="0"/>
          <w:numId w:val="43"/>
        </w:numPr>
        <w:spacing w:line="360" w:before="105" w:after="105" w:lineRule="auto"/>
      </w:pPr>
      <w:r>
        <w:rPr>
          <w:rFonts w:eastAsia="inter" w:cs="inter" w:ascii="inter" w:hAnsi="inter"/>
          <w:color w:val="000000"/>
          <w:sz w:val="21"/>
        </w:rPr>
        <w:t xml:space="preserve">Document all </w:t>
      </w:r>
      <w:r>
        <w:rPr>
          <w:rFonts w:eastAsia="inter" w:cs="inter" w:ascii="inter" w:hAnsi="inter"/>
          <w:b/>
          <w:color w:val="000000"/>
          <w:sz w:val="21"/>
        </w:rPr>
        <w:t xml:space="preserve">mitigation actions</w:t>
      </w:r>
      <w:r>
        <w:rPr>
          <w:rFonts w:eastAsia="inter" w:cs="inter" w:ascii="inter" w:hAnsi="inter"/>
          <w:color w:val="000000"/>
          <w:sz w:val="21"/>
        </w:rPr>
        <w:t xml:space="preserve"> taken:</w:t>
      </w:r>
    </w:p>
    <w:p>
      <w:pPr>
        <w:numPr>
          <w:ilvl w:val="1"/>
          <w:numId w:val="43"/>
        </w:numPr>
        <w:spacing w:line="360" w:before="105" w:after="105" w:lineRule="auto"/>
      </w:pPr>
      <w:r>
        <w:rPr>
          <w:rFonts w:eastAsia="inter" w:cs="inter" w:ascii="inter" w:hAnsi="inter"/>
          <w:color w:val="000000"/>
          <w:sz w:val="21"/>
        </w:rPr>
        <w:t xml:space="preserve">Notification of affected individuals.</w:t>
      </w:r>
    </w:p>
    <w:p>
      <w:pPr>
        <w:numPr>
          <w:ilvl w:val="1"/>
          <w:numId w:val="43"/>
        </w:numPr>
        <w:spacing w:line="360" w:before="105" w:after="105" w:lineRule="auto"/>
      </w:pPr>
      <w:r>
        <w:rPr>
          <w:rFonts w:eastAsia="inter" w:cs="inter" w:ascii="inter" w:hAnsi="inter"/>
          <w:color w:val="000000"/>
          <w:sz w:val="21"/>
        </w:rPr>
        <w:t xml:space="preserve">Containment and recovery efforts.</w:t>
      </w:r>
    </w:p>
    <w:p>
      <w:pPr>
        <w:numPr>
          <w:ilvl w:val="1"/>
          <w:numId w:val="43"/>
        </w:numPr>
        <w:spacing w:line="360" w:before="105" w:after="105" w:lineRule="auto"/>
      </w:pPr>
      <w:r>
        <w:rPr>
          <w:rFonts w:eastAsia="inter" w:cs="inter" w:ascii="inter" w:hAnsi="inter"/>
          <w:color w:val="000000"/>
          <w:sz w:val="21"/>
        </w:rPr>
        <w:t xml:space="preserve">Communication and corrective action plans with BA.</w:t>
      </w:r>
    </w:p>
    <w:p>
      <w:pPr>
        <w:numPr>
          <w:ilvl w:val="0"/>
          <w:numId w:val="43"/>
        </w:numPr>
        <w:spacing w:line="360" w:before="105" w:after="105" w:lineRule="auto"/>
      </w:pPr>
      <w:r>
        <w:rPr>
          <w:rFonts w:eastAsia="inter" w:cs="inter" w:ascii="inter" w:hAnsi="inter"/>
          <w:color w:val="000000"/>
          <w:sz w:val="21"/>
        </w:rPr>
        <w:t xml:space="preserve">Record any policy, procedural changes, or training implemented post-incident.</w:t>
      </w:r>
    </w:p>
    <w:p>
      <w:pPr>
        <w:numPr>
          <w:ilvl w:val="0"/>
          <w:numId w:val="43"/>
        </w:numPr>
        <w:spacing w:line="360" w:before="105" w:after="105" w:lineRule="auto"/>
      </w:pPr>
      <w:r>
        <w:rPr>
          <w:rFonts w:eastAsia="inter" w:cs="inter" w:ascii="inter" w:hAnsi="inter"/>
          <w:color w:val="000000"/>
          <w:sz w:val="21"/>
        </w:rPr>
        <w:t xml:space="preserve">Maintain these records to demonstrate compliance and follow-up due diligence.</w:t>
      </w:r>
      <w:bookmarkStart w:id="313" w:name="fnref233"/>
      <w:bookmarkEnd w:id="313"/>
      <w:hyperlink w:anchor="fn233">
        <w:r>
          <w:rPr>
            <w:rFonts w:eastAsia="inter" w:cs="inter" w:ascii="inter" w:hAnsi="inter"/>
            <w:color w:val="#000"/>
            <w:sz w:val="21"/>
            <w:u w:val="single"/>
            <w:vertAlign w:val="superscript"/>
          </w:rPr>
          <w:t xml:space="preserve">[233]</w:t>
        </w:r>
      </w:hyperlink>
      <w:bookmarkStart w:id="314" w:name="fnref234"/>
      <w:bookmarkEnd w:id="314"/>
      <w:hyperlink w:anchor="fn234">
        <w:r>
          <w:rPr>
            <w:rFonts w:eastAsia="inter" w:cs="inter" w:ascii="inter" w:hAnsi="inter"/>
            <w:color w:val="#000"/>
            <w:sz w:val="21"/>
            <w:u w:val="single"/>
            <w:vertAlign w:val="superscript"/>
          </w:rPr>
          <w:t xml:space="preserve">[234]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Donna might say: An airtight BA playbook means exempting routine TPO shares from the ledger, locking down binding contracts with certified logs, mapping subcontractor moves with precision, flagging public health shares with legal stamps, and owning every slip with swift fixes.</w:t>
      </w:r>
    </w:p>
    <w:p>
      <w:pPr>
        <w:spacing w:line="360" w:after="210" w:lineRule="auto"/>
      </w:pPr>
      <w:r>
        <w:rPr>
          <w:rFonts w:eastAsia="inter" w:cs="inter" w:ascii="inter" w:hAnsi="inter"/>
          <w:color w:val="000000"/>
        </w:rPr>
        <w:t xml:space="preserve">This keeps rÆ compliant, transparent, and ready for any regulatory spotlight.</w:t>
      </w:r>
      <w:bookmarkStart w:id="315" w:name="fnref226:1"/>
      <w:bookmarkEnd w:id="315"/>
      <w:hyperlink w:anchor="fn226">
        <w:r>
          <w:rPr>
            <w:rFonts w:eastAsia="inter" w:cs="inter" w:ascii="inter" w:hAnsi="inter"/>
            <w:color w:val="#000"/>
            <w:u w:val="single"/>
            <w:vertAlign w:val="superscript"/>
          </w:rPr>
          <w:t xml:space="preserve">[226]</w:t>
        </w:r>
      </w:hyperlink>
      <w:bookmarkStart w:id="316" w:name="fnref228:1"/>
      <w:bookmarkEnd w:id="316"/>
      <w:hyperlink w:anchor="fn228">
        <w:r>
          <w:rPr>
            <w:rFonts w:eastAsia="inter" w:cs="inter" w:ascii="inter" w:hAnsi="inter"/>
            <w:color w:val="#000"/>
            <w:u w:val="single"/>
            <w:vertAlign w:val="superscript"/>
          </w:rPr>
          <w:t xml:space="preserve">[228]</w:t>
        </w:r>
      </w:hyperlink>
      <w:bookmarkStart w:id="317" w:name="fnref230:1"/>
      <w:bookmarkEnd w:id="317"/>
      <w:hyperlink w:anchor="fn230">
        <w:r>
          <w:rPr>
            <w:rFonts w:eastAsia="inter" w:cs="inter" w:ascii="inter" w:hAnsi="inter"/>
            <w:color w:val="#000"/>
            <w:u w:val="single"/>
            <w:vertAlign w:val="superscript"/>
          </w:rPr>
          <w:t xml:space="preserve">[230]</w:t>
        </w:r>
      </w:hyperlink>
      <w:bookmarkStart w:id="318" w:name="fnref232:1"/>
      <w:bookmarkEnd w:id="318"/>
      <w:hyperlink w:anchor="fn232">
        <w:r>
          <w:rPr>
            <w:rFonts w:eastAsia="inter" w:cs="inter" w:ascii="inter" w:hAnsi="inter"/>
            <w:color w:val="#000"/>
            <w:u w:val="single"/>
            <w:vertAlign w:val="superscript"/>
          </w:rPr>
          <w:t xml:space="preserve">[232]</w:t>
        </w:r>
      </w:hyperlink>
      <w:bookmarkStart w:id="319" w:name="fnref233:1"/>
      <w:bookmarkEnd w:id="319"/>
      <w:hyperlink w:anchor="fn233">
        <w:r>
          <w:rPr>
            <w:rFonts w:eastAsia="inter" w:cs="inter" w:ascii="inter" w:hAnsi="inter"/>
            <w:color w:val="#000"/>
            <w:u w:val="single"/>
            <w:vertAlign w:val="superscript"/>
          </w:rPr>
          <w:t xml:space="preserve">[233]</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Which BA disclosures for treatment, payment, or operations clearly fall under the §164.528 exemption</w:t>
      </w:r>
    </w:p>
    <w:p>
      <w:pPr>
        <w:spacing w:line="360" w:after="210" w:lineRule="auto"/>
      </w:pPr>
      <w:r>
        <w:rPr>
          <w:rFonts w:eastAsia="inter" w:cs="inter" w:ascii="inter" w:hAnsi="inter"/>
          <w:color w:val="000000"/>
        </w:rPr>
        <w:t xml:space="preserve">What specific written attestation from a BA lets me accept their disclosure log entries</w:t>
      </w:r>
      <w:r>
        <w:rPr>
          <w:rFonts w:eastAsia="inter" w:cs="inter" w:ascii="inter" w:hAnsi="inter"/>
          <w:color w:val="000000"/>
        </w:rPr>
        <w:br w:type="textWrapping"/>
      </w:r>
      <w:r>
        <w:rPr>
          <w:rFonts w:eastAsia="inter" w:cs="inter" w:ascii="inter" w:hAnsi="inter"/>
          <w:color w:val="000000"/>
        </w:rPr>
        <w:t xml:space="preserve">How do I document each subcontractor tier when tracing a BA chain for an accounting</w:t>
      </w:r>
      <w:r>
        <w:rPr>
          <w:rFonts w:eastAsia="inter" w:cs="inter" w:ascii="inter" w:hAnsi="inter"/>
          <w:color w:val="000000"/>
        </w:rPr>
        <w:br w:type="textWrapping"/>
      </w:r>
      <w:r>
        <w:rPr>
          <w:rFonts w:eastAsia="inter" w:cs="inter" w:ascii="inter" w:hAnsi="inter"/>
          <w:color w:val="000000"/>
        </w:rPr>
        <w:t xml:space="preserve">What extra accounting fields do I add when a BA reports PHI to a public health authority</w:t>
      </w:r>
      <w:r>
        <w:rPr>
          <w:rFonts w:eastAsia="inter" w:cs="inter" w:ascii="inter" w:hAnsi="inter"/>
          <w:color w:val="000000"/>
        </w:rPr>
        <w:br w:type="textWrapping"/>
      </w:r>
      <w:r>
        <w:rPr>
          <w:rFonts w:eastAsia="inter" w:cs="inter" w:ascii="inter" w:hAnsi="inter"/>
          <w:color w:val="000000"/>
        </w:rPr>
        <w:t xml:space="preserve">How should I record and store required mitigation steps after a BA’s impermissible PHI disclosure</w:t>
      </w:r>
    </w:p>
    <w:p>
      <w:pPr>
        <w:spacing w:line="360" w:after="210" w:lineRule="auto"/>
      </w:pPr>
      <w:r>
        <w:rPr>
          <w:rFonts w:eastAsia="inter" w:cs="inter" w:ascii="inter" w:hAnsi="inter"/>
          <w:color w:val="000000"/>
        </w:rPr>
        <w:t xml:space="preserve">Here is a detailed answer for each question about Business Associate (BA) disclosures and documentation under HIPAA §164.528 adapted for rÆ:</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Which specific BA disclosures for treatment, payment, or operations clearly fall under the §164.528 exemption?</w:t>
      </w:r>
    </w:p>
    <w:p>
      <w:pPr>
        <w:numPr>
          <w:ilvl w:val="0"/>
          <w:numId w:val="44"/>
        </w:numPr>
        <w:spacing w:line="360" w:before="105" w:after="105" w:lineRule="auto"/>
      </w:pPr>
      <w:r>
        <w:rPr>
          <w:rFonts w:eastAsia="inter" w:cs="inter" w:ascii="inter" w:hAnsi="inter"/>
          <w:color w:val="000000"/>
          <w:sz w:val="21"/>
        </w:rPr>
        <w:t xml:space="preserve">Disclosures made by BAs </w:t>
      </w:r>
      <w:r>
        <w:rPr>
          <w:rFonts w:eastAsia="inter" w:cs="inter" w:ascii="inter" w:hAnsi="inter"/>
          <w:b/>
          <w:color w:val="000000"/>
          <w:sz w:val="21"/>
        </w:rPr>
        <w:t xml:space="preserve">strictly for Treatment, Payment, or Healthcare Operations (TPO)</w:t>
      </w:r>
      <w:r>
        <w:rPr>
          <w:rFonts w:eastAsia="inter" w:cs="inter" w:ascii="inter" w:hAnsi="inter"/>
          <w:color w:val="000000"/>
          <w:sz w:val="21"/>
        </w:rPr>
        <w:t xml:space="preserve"> as defined by HIPAA.</w:t>
      </w:r>
    </w:p>
    <w:p>
      <w:pPr>
        <w:numPr>
          <w:ilvl w:val="0"/>
          <w:numId w:val="44"/>
        </w:numPr>
        <w:spacing w:line="360" w:before="105" w:after="105" w:lineRule="auto"/>
      </w:pPr>
      <w:r>
        <w:rPr>
          <w:rFonts w:eastAsia="inter" w:cs="inter" w:ascii="inter" w:hAnsi="inter"/>
          <w:color w:val="000000"/>
          <w:sz w:val="21"/>
        </w:rPr>
        <w:t xml:space="preserve">Examples include claims processing, coordination of care, health plan enrollment, quality assessment, utilization review, fraud detection, and provider credentialing.</w:t>
      </w:r>
    </w:p>
    <w:p>
      <w:pPr>
        <w:numPr>
          <w:ilvl w:val="0"/>
          <w:numId w:val="44"/>
        </w:numPr>
        <w:spacing w:line="360" w:before="105" w:after="105" w:lineRule="auto"/>
      </w:pPr>
      <w:r>
        <w:rPr>
          <w:rFonts w:eastAsia="inter" w:cs="inter" w:ascii="inter" w:hAnsi="inter"/>
          <w:color w:val="000000"/>
          <w:sz w:val="21"/>
        </w:rPr>
        <w:t xml:space="preserve">The exemption applies regardless of the disclosure volume or frequency as long as the purpose is TPO.</w:t>
      </w:r>
    </w:p>
    <w:p>
      <w:pPr>
        <w:numPr>
          <w:ilvl w:val="0"/>
          <w:numId w:val="44"/>
        </w:numPr>
        <w:spacing w:line="360" w:before="105" w:after="105" w:lineRule="auto"/>
      </w:pPr>
      <w:r>
        <w:rPr>
          <w:rFonts w:eastAsia="inter" w:cs="inter" w:ascii="inter" w:hAnsi="inter"/>
          <w:color w:val="000000"/>
          <w:sz w:val="21"/>
        </w:rPr>
        <w:t xml:space="preserve">Uses/disclosures for BA’s own management or data aggregation on behalf of the covered entity are also covered under specific exceptions if authorized by BAA.</w:t>
      </w:r>
      <w:bookmarkStart w:id="320" w:name="fnref241"/>
      <w:bookmarkEnd w:id="320"/>
      <w:hyperlink w:anchor="fn241">
        <w:r>
          <w:rPr>
            <w:rFonts w:eastAsia="inter" w:cs="inter" w:ascii="inter" w:hAnsi="inter"/>
            <w:color w:val="#000"/>
            <w:sz w:val="21"/>
            <w:u w:val="single"/>
            <w:vertAlign w:val="superscript"/>
          </w:rPr>
          <w:t xml:space="preserve">[241]</w:t>
        </w:r>
      </w:hyperlink>
      <w:bookmarkStart w:id="321" w:name="fnref242"/>
      <w:bookmarkEnd w:id="321"/>
      <w:hyperlink w:anchor="fn242">
        <w:r>
          <w:rPr>
            <w:rFonts w:eastAsia="inter" w:cs="inter" w:ascii="inter" w:hAnsi="inter"/>
            <w:color w:val="#000"/>
            <w:sz w:val="21"/>
            <w:u w:val="single"/>
            <w:vertAlign w:val="superscript"/>
          </w:rPr>
          <w:t xml:space="preserve">[242]</w:t>
        </w:r>
      </w:hyperlink>
      <w:bookmarkStart w:id="322" w:name="fnref243"/>
      <w:bookmarkEnd w:id="322"/>
      <w:hyperlink w:anchor="fn243">
        <w:r>
          <w:rPr>
            <w:rFonts w:eastAsia="inter" w:cs="inter" w:ascii="inter" w:hAnsi="inter"/>
            <w:color w:val="#000"/>
            <w:sz w:val="21"/>
            <w:u w:val="single"/>
            <w:vertAlign w:val="superscript"/>
          </w:rPr>
          <w:t xml:space="preserve">[243]</w:t>
        </w:r>
      </w:hyperlink>
      <w:bookmarkStart w:id="323" w:name="fnref244"/>
      <w:bookmarkEnd w:id="323"/>
      <w:hyperlink w:anchor="fn244">
        <w:r>
          <w:rPr>
            <w:rFonts w:eastAsia="inter" w:cs="inter" w:ascii="inter" w:hAnsi="inter"/>
            <w:color w:val="#000"/>
            <w:sz w:val="21"/>
            <w:u w:val="single"/>
            <w:vertAlign w:val="superscript"/>
          </w:rPr>
          <w:t xml:space="preserve">[244]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What specific written attestation from a BA lets me accept their disclosure log entries?</w:t>
      </w:r>
    </w:p>
    <w:p>
      <w:pPr>
        <w:numPr>
          <w:ilvl w:val="0"/>
          <w:numId w:val="45"/>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signed Business Associate Agreement (BAA)</w:t>
      </w:r>
      <w:r>
        <w:rPr>
          <w:rFonts w:eastAsia="inter" w:cs="inter" w:ascii="inter" w:hAnsi="inter"/>
          <w:color w:val="000000"/>
          <w:sz w:val="21"/>
        </w:rPr>
        <w:t xml:space="preserve"> that explicitly requires:</w:t>
      </w:r>
    </w:p>
    <w:p>
      <w:pPr>
        <w:numPr>
          <w:ilvl w:val="1"/>
          <w:numId w:val="45"/>
        </w:numPr>
        <w:spacing w:line="360" w:before="105" w:after="105" w:lineRule="auto"/>
      </w:pPr>
      <w:r>
        <w:rPr>
          <w:rFonts w:eastAsia="inter" w:cs="inter" w:ascii="inter" w:hAnsi="inter"/>
          <w:color w:val="000000"/>
          <w:sz w:val="21"/>
        </w:rPr>
        <w:t xml:space="preserve">The BA to maintain accurate, complete disclosure logs meeting HIPAA §164.528.</w:t>
      </w:r>
    </w:p>
    <w:p>
      <w:pPr>
        <w:numPr>
          <w:ilvl w:val="1"/>
          <w:numId w:val="45"/>
        </w:numPr>
        <w:spacing w:line="360" w:before="105" w:after="105" w:lineRule="auto"/>
      </w:pPr>
      <w:r>
        <w:rPr>
          <w:rFonts w:eastAsia="inter" w:cs="inter" w:ascii="inter" w:hAnsi="inter"/>
          <w:color w:val="000000"/>
          <w:sz w:val="21"/>
        </w:rPr>
        <w:t xml:space="preserve">Access provision of such records to the covered entity for audit or accounting purposes.</w:t>
      </w:r>
    </w:p>
    <w:p>
      <w:pPr>
        <w:numPr>
          <w:ilvl w:val="1"/>
          <w:numId w:val="45"/>
        </w:numPr>
        <w:spacing w:line="360" w:before="105" w:after="105" w:lineRule="auto"/>
      </w:pPr>
      <w:r>
        <w:rPr>
          <w:rFonts w:eastAsia="inter" w:cs="inter" w:ascii="inter" w:hAnsi="inter"/>
          <w:color w:val="000000"/>
          <w:sz w:val="21"/>
        </w:rPr>
        <w:t xml:space="preserve">Compliance with all applicable HIPAA rules, including breach notifications.</w:t>
      </w:r>
    </w:p>
    <w:p>
      <w:pPr>
        <w:numPr>
          <w:ilvl w:val="0"/>
          <w:numId w:val="45"/>
        </w:numPr>
        <w:spacing w:line="360" w:before="105" w:after="105" w:lineRule="auto"/>
      </w:pPr>
      <w:r>
        <w:rPr>
          <w:rFonts w:eastAsia="inter" w:cs="inter" w:ascii="inter" w:hAnsi="inter"/>
          <w:color w:val="000000"/>
          <w:sz w:val="21"/>
        </w:rPr>
        <w:t xml:space="preserve">Periodic </w:t>
      </w:r>
      <w:r>
        <w:rPr>
          <w:rFonts w:eastAsia="inter" w:cs="inter" w:ascii="inter" w:hAnsi="inter"/>
          <w:b/>
          <w:color w:val="000000"/>
          <w:sz w:val="21"/>
        </w:rPr>
        <w:t xml:space="preserve">written attestations or certifications</w:t>
      </w:r>
      <w:r>
        <w:rPr>
          <w:rFonts w:eastAsia="inter" w:cs="inter" w:ascii="inter" w:hAnsi="inter"/>
          <w:color w:val="000000"/>
          <w:sz w:val="21"/>
        </w:rPr>
        <w:t xml:space="preserve"> from the BA certifying completeness and accuracy of disclosure logs strengthen reliance.</w:t>
      </w:r>
    </w:p>
    <w:p>
      <w:pPr>
        <w:numPr>
          <w:ilvl w:val="0"/>
          <w:numId w:val="45"/>
        </w:numPr>
        <w:spacing w:line="360" w:before="105" w:after="105" w:lineRule="auto"/>
      </w:pPr>
      <w:r>
        <w:rPr>
          <w:rFonts w:eastAsia="inter" w:cs="inter" w:ascii="inter" w:hAnsi="inter"/>
          <w:color w:val="000000"/>
          <w:sz w:val="21"/>
        </w:rPr>
        <w:t xml:space="preserve">Documentation should clarify record format, retention period, and reporting frequency.</w:t>
      </w:r>
      <w:bookmarkStart w:id="324" w:name="fnref245"/>
      <w:bookmarkEnd w:id="324"/>
      <w:hyperlink w:anchor="fn245">
        <w:r>
          <w:rPr>
            <w:rFonts w:eastAsia="inter" w:cs="inter" w:ascii="inter" w:hAnsi="inter"/>
            <w:color w:val="#000"/>
            <w:sz w:val="21"/>
            <w:u w:val="single"/>
            <w:vertAlign w:val="superscript"/>
          </w:rPr>
          <w:t xml:space="preserve">[245]</w:t>
        </w:r>
      </w:hyperlink>
      <w:bookmarkStart w:id="325" w:name="fnref246"/>
      <w:bookmarkEnd w:id="325"/>
      <w:hyperlink w:anchor="fn246">
        <w:r>
          <w:rPr>
            <w:rFonts w:eastAsia="inter" w:cs="inter" w:ascii="inter" w:hAnsi="inter"/>
            <w:color w:val="#000"/>
            <w:sz w:val="21"/>
            <w:u w:val="single"/>
            <w:vertAlign w:val="superscript"/>
          </w:rPr>
          <w:t xml:space="preserve">[246]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do I document each subcontractor tier when tracing a BA chain for an accounting?</w:t>
      </w:r>
    </w:p>
    <w:p>
      <w:pPr>
        <w:numPr>
          <w:ilvl w:val="0"/>
          <w:numId w:val="46"/>
        </w:numPr>
        <w:spacing w:line="360" w:before="105" w:after="105" w:lineRule="auto"/>
      </w:pPr>
      <w:r>
        <w:rPr>
          <w:rFonts w:eastAsia="inter" w:cs="inter" w:ascii="inter" w:hAnsi="inter"/>
          <w:color w:val="000000"/>
          <w:sz w:val="21"/>
        </w:rPr>
        <w:t xml:space="preserve">Stepwise process:</w:t>
      </w:r>
    </w:p>
    <w:p>
      <w:pPr>
        <w:numPr>
          <w:ilvl w:val="1"/>
          <w:numId w:val="46"/>
        </w:numPr>
        <w:spacing w:line="360" w:before="105" w:after="105" w:lineRule="auto"/>
      </w:pPr>
      <w:r>
        <w:rPr>
          <w:rFonts w:eastAsia="inter" w:cs="inter" w:ascii="inter" w:hAnsi="inter"/>
          <w:color w:val="000000"/>
          <w:sz w:val="21"/>
        </w:rPr>
        <w:t xml:space="preserve">Verify BA has executed </w:t>
      </w:r>
      <w:r>
        <w:rPr>
          <w:rFonts w:eastAsia="inter" w:cs="inter" w:ascii="inter" w:hAnsi="inter"/>
          <w:b/>
          <w:color w:val="000000"/>
          <w:sz w:val="21"/>
        </w:rPr>
        <w:t xml:space="preserve">subcontractor agreements</w:t>
      </w:r>
      <w:r>
        <w:rPr>
          <w:rFonts w:eastAsia="inter" w:cs="inter" w:ascii="inter" w:hAnsi="inter"/>
          <w:color w:val="000000"/>
          <w:sz w:val="21"/>
        </w:rPr>
        <w:t xml:space="preserve"> mandating PHI protections and disclosure accounting.</w:t>
      </w:r>
    </w:p>
    <w:p>
      <w:pPr>
        <w:numPr>
          <w:ilvl w:val="1"/>
          <w:numId w:val="46"/>
        </w:numPr>
        <w:spacing w:line="360" w:before="105" w:after="105" w:lineRule="auto"/>
      </w:pPr>
      <w:r>
        <w:rPr>
          <w:rFonts w:eastAsia="inter" w:cs="inter" w:ascii="inter" w:hAnsi="inter"/>
          <w:color w:val="000000"/>
          <w:sz w:val="21"/>
        </w:rPr>
        <w:t xml:space="preserve">Require BA to collect and maintain </w:t>
      </w:r>
      <w:r>
        <w:rPr>
          <w:rFonts w:eastAsia="inter" w:cs="inter" w:ascii="inter" w:hAnsi="inter"/>
          <w:b/>
          <w:color w:val="000000"/>
          <w:sz w:val="21"/>
        </w:rPr>
        <w:t xml:space="preserve">detailed logs</w:t>
      </w:r>
      <w:r>
        <w:rPr>
          <w:rFonts w:eastAsia="inter" w:cs="inter" w:ascii="inter" w:hAnsi="inter"/>
          <w:color w:val="000000"/>
          <w:sz w:val="21"/>
        </w:rPr>
        <w:t xml:space="preserve"> from each subcontractor tier describing disclosures: date, recipient, purpose, PHI type.</w:t>
      </w:r>
    </w:p>
    <w:p>
      <w:pPr>
        <w:numPr>
          <w:ilvl w:val="1"/>
          <w:numId w:val="46"/>
        </w:numPr>
        <w:spacing w:line="360" w:before="105" w:after="105" w:lineRule="auto"/>
      </w:pPr>
      <w:r>
        <w:rPr>
          <w:rFonts w:eastAsia="inter" w:cs="inter" w:ascii="inter" w:hAnsi="inter"/>
          <w:color w:val="000000"/>
          <w:sz w:val="21"/>
        </w:rPr>
        <w:t xml:space="preserve">BA aggregates subcontractor logs into a </w:t>
      </w:r>
      <w:r>
        <w:rPr>
          <w:rFonts w:eastAsia="inter" w:cs="inter" w:ascii="inter" w:hAnsi="inter"/>
          <w:b/>
          <w:color w:val="000000"/>
          <w:sz w:val="21"/>
        </w:rPr>
        <w:t xml:space="preserve">consolidated disclosure report</w:t>
      </w:r>
      <w:r>
        <w:rPr>
          <w:rFonts w:eastAsia="inter" w:cs="inter" w:ascii="inter" w:hAnsi="inter"/>
          <w:color w:val="000000"/>
          <w:sz w:val="21"/>
        </w:rPr>
        <w:t xml:space="preserve">.</w:t>
      </w:r>
    </w:p>
    <w:p>
      <w:pPr>
        <w:numPr>
          <w:ilvl w:val="1"/>
          <w:numId w:val="46"/>
        </w:numPr>
        <w:spacing w:line="360" w:before="105" w:after="105" w:lineRule="auto"/>
      </w:pPr>
      <w:r>
        <w:rPr>
          <w:rFonts w:eastAsia="inter" w:cs="inter" w:ascii="inter" w:hAnsi="inter"/>
          <w:color w:val="000000"/>
          <w:sz w:val="21"/>
        </w:rPr>
        <w:t xml:space="preserve">Covered entity records this consolidated data in its </w:t>
      </w:r>
      <w:r>
        <w:rPr>
          <w:rFonts w:eastAsia="inter" w:cs="inter" w:ascii="inter" w:hAnsi="inter"/>
          <w:b/>
          <w:color w:val="000000"/>
          <w:sz w:val="21"/>
        </w:rPr>
        <w:t xml:space="preserve">master accounting system</w:t>
      </w:r>
      <w:r>
        <w:rPr>
          <w:rFonts w:eastAsia="inter" w:cs="inter" w:ascii="inter" w:hAnsi="inter"/>
          <w:color w:val="000000"/>
          <w:sz w:val="21"/>
        </w:rPr>
        <w:t xml:space="preserve">, noting each subcontractor tier involved.</w:t>
      </w:r>
    </w:p>
    <w:p>
      <w:pPr>
        <w:numPr>
          <w:ilvl w:val="1"/>
          <w:numId w:val="46"/>
        </w:numPr>
        <w:spacing w:line="360" w:before="105" w:after="105" w:lineRule="auto"/>
      </w:pPr>
      <w:r>
        <w:rPr>
          <w:rFonts w:eastAsia="inter" w:cs="inter" w:ascii="inter" w:hAnsi="inter"/>
          <w:color w:val="000000"/>
          <w:sz w:val="21"/>
        </w:rPr>
        <w:t xml:space="preserve">Ensure clear traceability so each disclosure origin and pathway through subcontractors is documented, facilitating audit and individual requests.</w:t>
      </w:r>
      <w:bookmarkStart w:id="326" w:name="fnref247"/>
      <w:bookmarkEnd w:id="326"/>
      <w:hyperlink w:anchor="fn247">
        <w:r>
          <w:rPr>
            <w:rFonts w:eastAsia="inter" w:cs="inter" w:ascii="inter" w:hAnsi="inter"/>
            <w:color w:val="#000"/>
            <w:sz w:val="21"/>
            <w:u w:val="single"/>
            <w:vertAlign w:val="superscript"/>
          </w:rPr>
          <w:t xml:space="preserve">[247]</w:t>
        </w:r>
      </w:hyperlink>
      <w:bookmarkStart w:id="327" w:name="fnref248"/>
      <w:bookmarkEnd w:id="327"/>
      <w:hyperlink w:anchor="fn248">
        <w:r>
          <w:rPr>
            <w:rFonts w:eastAsia="inter" w:cs="inter" w:ascii="inter" w:hAnsi="inter"/>
            <w:color w:val="#000"/>
            <w:sz w:val="21"/>
            <w:u w:val="single"/>
            <w:vertAlign w:val="superscript"/>
          </w:rPr>
          <w:t xml:space="preserve">[248]</w:t>
        </w:r>
      </w:hyperlink>
      <w:bookmarkStart w:id="328" w:name="fnref249"/>
      <w:bookmarkEnd w:id="328"/>
      <w:hyperlink w:anchor="fn249">
        <w:r>
          <w:rPr>
            <w:rFonts w:eastAsia="inter" w:cs="inter" w:ascii="inter" w:hAnsi="inter"/>
            <w:color w:val="#000"/>
            <w:sz w:val="21"/>
            <w:u w:val="single"/>
            <w:vertAlign w:val="superscript"/>
          </w:rPr>
          <w:t xml:space="preserve">[249]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What extra accounting fields do I add when a BA reports PHI to a public health authority?</w:t>
      </w:r>
    </w:p>
    <w:p>
      <w:pPr>
        <w:numPr>
          <w:ilvl w:val="0"/>
          <w:numId w:val="47"/>
        </w:numPr>
        <w:spacing w:line="360" w:before="105" w:after="105" w:lineRule="auto"/>
      </w:pPr>
      <w:r>
        <w:rPr>
          <w:rFonts w:eastAsia="inter" w:cs="inter" w:ascii="inter" w:hAnsi="inter"/>
          <w:color w:val="000000"/>
          <w:sz w:val="21"/>
        </w:rPr>
        <w:t xml:space="preserve">Add explicit fields recording:</w:t>
      </w:r>
    </w:p>
    <w:p>
      <w:pPr>
        <w:numPr>
          <w:ilvl w:val="1"/>
          <w:numId w:val="47"/>
        </w:numPr>
        <w:spacing w:line="360" w:before="105" w:after="105" w:lineRule="auto"/>
      </w:pPr>
      <w:r>
        <w:rPr>
          <w:rFonts w:eastAsia="inter" w:cs="inter" w:ascii="inter" w:hAnsi="inter"/>
          <w:b/>
          <w:color w:val="000000"/>
          <w:sz w:val="21"/>
        </w:rPr>
        <w:t xml:space="preserve">Identity of the public health authority</w:t>
      </w:r>
      <w:r>
        <w:rPr>
          <w:rFonts w:eastAsia="inter" w:cs="inter" w:ascii="inter" w:hAnsi="inter"/>
          <w:color w:val="000000"/>
          <w:sz w:val="21"/>
        </w:rPr>
        <w:t xml:space="preserve"> or agency.</w:t>
      </w:r>
    </w:p>
    <w:p>
      <w:pPr>
        <w:numPr>
          <w:ilvl w:val="1"/>
          <w:numId w:val="47"/>
        </w:numPr>
        <w:spacing w:line="360" w:before="105" w:after="105" w:lineRule="auto"/>
      </w:pPr>
      <w:r>
        <w:rPr>
          <w:rFonts w:eastAsia="inter" w:cs="inter" w:ascii="inter" w:hAnsi="inter"/>
          <w:b/>
          <w:color w:val="000000"/>
          <w:sz w:val="21"/>
        </w:rPr>
        <w:t xml:space="preserve">Date of disclosure</w:t>
      </w:r>
      <w:r>
        <w:rPr>
          <w:rFonts w:eastAsia="inter" w:cs="inter" w:ascii="inter" w:hAnsi="inter"/>
          <w:color w:val="000000"/>
          <w:sz w:val="21"/>
        </w:rPr>
        <w:t xml:space="preserve">.</w:t>
      </w:r>
    </w:p>
    <w:p>
      <w:pPr>
        <w:numPr>
          <w:ilvl w:val="1"/>
          <w:numId w:val="47"/>
        </w:numPr>
        <w:spacing w:line="360" w:before="105" w:after="105" w:lineRule="auto"/>
      </w:pPr>
      <w:r>
        <w:rPr>
          <w:rFonts w:eastAsia="inter" w:cs="inter" w:ascii="inter" w:hAnsi="inter"/>
          <w:b/>
          <w:color w:val="000000"/>
          <w:sz w:val="21"/>
        </w:rPr>
        <w:t xml:space="preserve">Legal authority or mandate</w:t>
      </w:r>
      <w:r>
        <w:rPr>
          <w:rFonts w:eastAsia="inter" w:cs="inter" w:ascii="inter" w:hAnsi="inter"/>
          <w:color w:val="000000"/>
          <w:sz w:val="21"/>
        </w:rPr>
        <w:t xml:space="preserve"> justifying the disclosure (e.g., state law, federal mandate).</w:t>
      </w:r>
    </w:p>
    <w:p>
      <w:pPr>
        <w:numPr>
          <w:ilvl w:val="1"/>
          <w:numId w:val="47"/>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as public health monitoring, reporting, or disease control.</w:t>
      </w:r>
    </w:p>
    <w:p>
      <w:pPr>
        <w:numPr>
          <w:ilvl w:val="1"/>
          <w:numId w:val="47"/>
        </w:numPr>
        <w:spacing w:line="360" w:before="105" w:after="105" w:lineRule="auto"/>
      </w:pPr>
      <w:r>
        <w:rPr>
          <w:rFonts w:eastAsia="inter" w:cs="inter" w:ascii="inter" w:hAnsi="inter"/>
          <w:b/>
          <w:color w:val="000000"/>
          <w:sz w:val="21"/>
        </w:rPr>
        <w:t xml:space="preserve">PHI types disclosed</w:t>
      </w:r>
      <w:r>
        <w:rPr>
          <w:rFonts w:eastAsia="inter" w:cs="inter" w:ascii="inter" w:hAnsi="inter"/>
          <w:color w:val="000000"/>
          <w:sz w:val="21"/>
        </w:rPr>
        <w:t xml:space="preserve"> relevant to public health.</w:t>
      </w:r>
    </w:p>
    <w:p>
      <w:pPr>
        <w:numPr>
          <w:ilvl w:val="1"/>
          <w:numId w:val="47"/>
        </w:numPr>
        <w:spacing w:line="360" w:before="105" w:after="105" w:lineRule="auto"/>
      </w:pPr>
      <w:r>
        <w:rPr>
          <w:rFonts w:eastAsia="inter" w:cs="inter" w:ascii="inter" w:hAnsi="inter"/>
          <w:b/>
          <w:color w:val="000000"/>
          <w:sz w:val="21"/>
        </w:rPr>
        <w:t xml:space="preserve">Status of exemption</w:t>
      </w:r>
      <w:r>
        <w:rPr>
          <w:rFonts w:eastAsia="inter" w:cs="inter" w:ascii="inter" w:hAnsi="inter"/>
          <w:color w:val="000000"/>
          <w:sz w:val="21"/>
        </w:rPr>
        <w:t xml:space="preserve"> from individual accounting (if applicable).</w:t>
      </w:r>
    </w:p>
    <w:p>
      <w:pPr>
        <w:numPr>
          <w:ilvl w:val="0"/>
          <w:numId w:val="47"/>
        </w:numPr>
        <w:spacing w:line="360" w:before="105" w:after="105" w:lineRule="auto"/>
      </w:pPr>
      <w:r>
        <w:rPr>
          <w:rFonts w:eastAsia="inter" w:cs="inter" w:ascii="inter" w:hAnsi="inter"/>
          <w:color w:val="000000"/>
          <w:sz w:val="21"/>
        </w:rPr>
        <w:t xml:space="preserve">These fields assist compliance and demonstrate due diligence in fulfilling public health reporting obligations.</w:t>
      </w:r>
      <w:bookmarkStart w:id="329" w:name="fnref250"/>
      <w:bookmarkEnd w:id="329"/>
      <w:hyperlink w:anchor="fn250">
        <w:r>
          <w:rPr>
            <w:rFonts w:eastAsia="inter" w:cs="inter" w:ascii="inter" w:hAnsi="inter"/>
            <w:color w:val="#000"/>
            <w:sz w:val="21"/>
            <w:u w:val="single"/>
            <w:vertAlign w:val="superscript"/>
          </w:rPr>
          <w:t xml:space="preserve">[250]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should I record and store required mitigation steps after a BA’s impermissible PHI disclosure?</w:t>
      </w:r>
    </w:p>
    <w:p>
      <w:pPr>
        <w:numPr>
          <w:ilvl w:val="0"/>
          <w:numId w:val="48"/>
        </w:numPr>
        <w:spacing w:line="360" w:before="105" w:after="105" w:lineRule="auto"/>
      </w:pPr>
      <w:r>
        <w:rPr>
          <w:rFonts w:eastAsia="inter" w:cs="inter" w:ascii="inter" w:hAnsi="inter"/>
          <w:color w:val="000000"/>
          <w:sz w:val="21"/>
        </w:rPr>
        <w:t xml:space="preserve">Maintain a </w:t>
      </w:r>
      <w:r>
        <w:rPr>
          <w:rFonts w:eastAsia="inter" w:cs="inter" w:ascii="inter" w:hAnsi="inter"/>
          <w:b/>
          <w:color w:val="000000"/>
          <w:sz w:val="21"/>
        </w:rPr>
        <w:t xml:space="preserve">comprehensive incident report</w:t>
      </w:r>
      <w:r>
        <w:rPr>
          <w:rFonts w:eastAsia="inter" w:cs="inter" w:ascii="inter" w:hAnsi="inter"/>
          <w:color w:val="000000"/>
          <w:sz w:val="21"/>
        </w:rPr>
        <w:t xml:space="preserve"> including:</w:t>
      </w:r>
    </w:p>
    <w:p>
      <w:pPr>
        <w:numPr>
          <w:ilvl w:val="1"/>
          <w:numId w:val="48"/>
        </w:numPr>
        <w:spacing w:line="360" w:before="105" w:after="105" w:lineRule="auto"/>
      </w:pPr>
      <w:r>
        <w:rPr>
          <w:rFonts w:eastAsia="inter" w:cs="inter" w:ascii="inter" w:hAnsi="inter"/>
          <w:color w:val="000000"/>
          <w:sz w:val="21"/>
        </w:rPr>
        <w:t xml:space="preserve">Summary of impermissible disclosure (date, nature, involved PHI).</w:t>
      </w:r>
    </w:p>
    <w:p>
      <w:pPr>
        <w:numPr>
          <w:ilvl w:val="1"/>
          <w:numId w:val="48"/>
        </w:numPr>
        <w:spacing w:line="360" w:before="105" w:after="105" w:lineRule="auto"/>
      </w:pPr>
      <w:r>
        <w:rPr>
          <w:rFonts w:eastAsia="inter" w:cs="inter" w:ascii="inter" w:hAnsi="inter"/>
          <w:color w:val="000000"/>
          <w:sz w:val="21"/>
        </w:rPr>
        <w:t xml:space="preserve">Detailed </w:t>
      </w:r>
      <w:r>
        <w:rPr>
          <w:rFonts w:eastAsia="inter" w:cs="inter" w:ascii="inter" w:hAnsi="inter"/>
          <w:b/>
          <w:color w:val="000000"/>
          <w:sz w:val="21"/>
        </w:rPr>
        <w:t xml:space="preserve">mitigation actions</w:t>
      </w:r>
      <w:r>
        <w:rPr>
          <w:rFonts w:eastAsia="inter" w:cs="inter" w:ascii="inter" w:hAnsi="inter"/>
          <w:color w:val="000000"/>
          <w:sz w:val="21"/>
        </w:rPr>
        <w:t xml:space="preserve">: containment, notification, remediation.</w:t>
      </w:r>
    </w:p>
    <w:p>
      <w:pPr>
        <w:numPr>
          <w:ilvl w:val="1"/>
          <w:numId w:val="48"/>
        </w:numPr>
        <w:spacing w:line="360" w:before="105" w:after="105" w:lineRule="auto"/>
      </w:pPr>
      <w:r>
        <w:rPr>
          <w:rFonts w:eastAsia="inter" w:cs="inter" w:ascii="inter" w:hAnsi="inter"/>
          <w:color w:val="000000"/>
          <w:sz w:val="21"/>
        </w:rPr>
        <w:t xml:space="preserve">Correspondence and corrective action plans agreed with BA.</w:t>
      </w:r>
    </w:p>
    <w:p>
      <w:pPr>
        <w:numPr>
          <w:ilvl w:val="1"/>
          <w:numId w:val="48"/>
        </w:numPr>
        <w:spacing w:line="360" w:before="105" w:after="105" w:lineRule="auto"/>
      </w:pPr>
      <w:r>
        <w:rPr>
          <w:rFonts w:eastAsia="inter" w:cs="inter" w:ascii="inter" w:hAnsi="inter"/>
          <w:color w:val="000000"/>
          <w:sz w:val="21"/>
        </w:rPr>
        <w:t xml:space="preserve">Documentation of training, policy changes or process enhancements post-incident.</w:t>
      </w:r>
    </w:p>
    <w:p>
      <w:pPr>
        <w:numPr>
          <w:ilvl w:val="0"/>
          <w:numId w:val="48"/>
        </w:numPr>
        <w:spacing w:line="360" w:before="105" w:after="105" w:lineRule="auto"/>
      </w:pPr>
      <w:r>
        <w:rPr>
          <w:rFonts w:eastAsia="inter" w:cs="inter" w:ascii="inter" w:hAnsi="inter"/>
          <w:color w:val="000000"/>
          <w:sz w:val="21"/>
        </w:rPr>
        <w:t xml:space="preserve">Store mitigation records securely within incident management or compliance systems accessible for audit.</w:t>
      </w:r>
    </w:p>
    <w:p>
      <w:pPr>
        <w:numPr>
          <w:ilvl w:val="0"/>
          <w:numId w:val="48"/>
        </w:numPr>
        <w:spacing w:line="360" w:before="105" w:after="105" w:lineRule="auto"/>
      </w:pPr>
      <w:r>
        <w:rPr>
          <w:rFonts w:eastAsia="inter" w:cs="inter" w:ascii="inter" w:hAnsi="inter"/>
          <w:color w:val="000000"/>
          <w:sz w:val="21"/>
        </w:rPr>
        <w:t xml:space="preserve">Link mitigation documentation to the related disclosure event in accounting records for traceability.</w:t>
      </w:r>
      <w:bookmarkStart w:id="330" w:name="fnref251"/>
      <w:bookmarkEnd w:id="330"/>
      <w:hyperlink w:anchor="fn251">
        <w:r>
          <w:rPr>
            <w:rFonts w:eastAsia="inter" w:cs="inter" w:ascii="inter" w:hAnsi="inter"/>
            <w:color w:val="#000"/>
            <w:sz w:val="21"/>
            <w:u w:val="single"/>
            <w:vertAlign w:val="superscript"/>
          </w:rPr>
          <w:t xml:space="preserve">[251]</w:t>
        </w:r>
      </w:hyperlink>
      <w:bookmarkStart w:id="331" w:name="fnref252"/>
      <w:bookmarkEnd w:id="331"/>
      <w:hyperlink w:anchor="fn252">
        <w:r>
          <w:rPr>
            <w:rFonts w:eastAsia="inter" w:cs="inter" w:ascii="inter" w:hAnsi="inter"/>
            <w:color w:val="#000"/>
            <w:sz w:val="21"/>
            <w:u w:val="single"/>
            <w:vertAlign w:val="superscript"/>
          </w:rPr>
          <w:t xml:space="preserve">[252]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Donna’s verdict: rÆ nails compliance by clearly exempting routine TPO disclosures, demanding signed attestations tied to solid recordkeeping, tracing subcontractor chains with forensic detail, adding legal flags for public health reports, and logging fixes for every slip. This is how you play HIPAA compliance like a boss.</w:t>
      </w:r>
    </w:p>
    <w:p>
      <w:pPr>
        <w:spacing w:line="360" w:after="210" w:lineRule="auto"/>
      </w:pPr>
      <w:r>
        <w:rPr>
          <w:rFonts w:eastAsia="inter" w:cs="inter" w:ascii="inter" w:hAnsi="inter"/>
          <w:color w:val="000000"/>
        </w:rPr>
        <w:t xml:space="preserve">This approach ensures transparent, auditable, and regulatory-ready accounting for every PHI disclosure across the business associate landscape.Here is a detailed and concise summary answering each part of your question about Business Associate (BA) disclosures and documentation under HIPAA §164.528 for rÆ:</w:t>
      </w:r>
      <w:bookmarkStart w:id="332" w:name="fnref252:1"/>
      <w:bookmarkEnd w:id="332"/>
      <w:hyperlink w:anchor="fn252">
        <w:r>
          <w:rPr>
            <w:rFonts w:eastAsia="inter" w:cs="inter" w:ascii="inter" w:hAnsi="inter"/>
            <w:color w:val="#000"/>
            <w:u w:val="single"/>
            <w:vertAlign w:val="superscript"/>
          </w:rPr>
          <w:t xml:space="preserve">[252]</w:t>
        </w:r>
      </w:hyperlink>
      <w:bookmarkStart w:id="333" w:name="fnref241:1"/>
      <w:bookmarkEnd w:id="333"/>
      <w:hyperlink w:anchor="fn241">
        <w:r>
          <w:rPr>
            <w:rFonts w:eastAsia="inter" w:cs="inter" w:ascii="inter" w:hAnsi="inter"/>
            <w:color w:val="#000"/>
            <w:u w:val="single"/>
            <w:vertAlign w:val="superscript"/>
          </w:rPr>
          <w:t xml:space="preserve">[241]</w:t>
        </w:r>
      </w:hyperlink>
      <w:bookmarkStart w:id="334" w:name="fnref245:1"/>
      <w:bookmarkEnd w:id="334"/>
      <w:hyperlink w:anchor="fn245">
        <w:r>
          <w:rPr>
            <w:rFonts w:eastAsia="inter" w:cs="inter" w:ascii="inter" w:hAnsi="inter"/>
            <w:color w:val="#000"/>
            <w:u w:val="single"/>
            <w:vertAlign w:val="superscript"/>
          </w:rPr>
          <w:t xml:space="preserve">[245]</w:t>
        </w:r>
      </w:hyperlink>
      <w:bookmarkStart w:id="335" w:name="fnref250:1"/>
      <w:bookmarkEnd w:id="335"/>
      <w:hyperlink w:anchor="fn250">
        <w:r>
          <w:rPr>
            <w:rFonts w:eastAsia="inter" w:cs="inter" w:ascii="inter" w:hAnsi="inter"/>
            <w:color w:val="#000"/>
            <w:u w:val="single"/>
            <w:vertAlign w:val="superscript"/>
          </w:rPr>
          <w:t xml:space="preserve">[250]</w:t>
        </w:r>
      </w:hyperlink>
      <w:bookmarkStart w:id="336" w:name="fnref247:1"/>
      <w:bookmarkEnd w:id="336"/>
      <w:hyperlink w:anchor="fn247">
        <w:r>
          <w:rPr>
            <w:rFonts w:eastAsia="inter" w:cs="inter" w:ascii="inter" w:hAnsi="inter"/>
            <w:color w:val="#000"/>
            <w:u w:val="single"/>
            <w:vertAlign w:val="superscript"/>
          </w:rPr>
          <w:t xml:space="preserve">[247]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Which specific BA disclosures for treatment, payment, or operations clearly fall under the §164.528 exemption?</w:t>
      </w:r>
    </w:p>
    <w:p>
      <w:pPr>
        <w:numPr>
          <w:ilvl w:val="0"/>
          <w:numId w:val="49"/>
        </w:numPr>
        <w:spacing w:line="360" w:before="105" w:after="105" w:lineRule="auto"/>
      </w:pPr>
      <w:r>
        <w:rPr>
          <w:rFonts w:eastAsia="inter" w:cs="inter" w:ascii="inter" w:hAnsi="inter"/>
          <w:color w:val="000000"/>
          <w:sz w:val="21"/>
        </w:rPr>
        <w:t xml:space="preserve">Disclosures made by BAs strictly for </w:t>
      </w:r>
      <w:r>
        <w:rPr>
          <w:rFonts w:eastAsia="inter" w:cs="inter" w:ascii="inter" w:hAnsi="inter"/>
          <w:b/>
          <w:color w:val="000000"/>
          <w:sz w:val="21"/>
        </w:rPr>
        <w:t xml:space="preserve">Treatment, Payment, or Healthcare Operations (TPO)</w:t>
      </w:r>
      <w:r>
        <w:rPr>
          <w:rFonts w:eastAsia="inter" w:cs="inter" w:ascii="inter" w:hAnsi="inter"/>
          <w:color w:val="000000"/>
          <w:sz w:val="21"/>
        </w:rPr>
        <w:t xml:space="preserve"> purposes are exempt.</w:t>
      </w:r>
    </w:p>
    <w:p>
      <w:pPr>
        <w:numPr>
          <w:ilvl w:val="0"/>
          <w:numId w:val="49"/>
        </w:numPr>
        <w:spacing w:line="360" w:before="105" w:after="105" w:lineRule="auto"/>
      </w:pPr>
      <w:r>
        <w:rPr>
          <w:rFonts w:eastAsia="inter" w:cs="inter" w:ascii="inter" w:hAnsi="inter"/>
          <w:color w:val="000000"/>
          <w:sz w:val="21"/>
        </w:rPr>
        <w:t xml:space="preserve">Examples include claims processing, care coordination, health plan enrollment, quality assessment, utilization review, and provider credentialing.</w:t>
      </w:r>
    </w:p>
    <w:p>
      <w:pPr>
        <w:numPr>
          <w:ilvl w:val="0"/>
          <w:numId w:val="49"/>
        </w:numPr>
        <w:spacing w:line="360" w:before="105" w:after="105" w:lineRule="auto"/>
      </w:pPr>
      <w:r>
        <w:rPr>
          <w:rFonts w:eastAsia="inter" w:cs="inter" w:ascii="inter" w:hAnsi="inter"/>
          <w:color w:val="000000"/>
          <w:sz w:val="21"/>
        </w:rPr>
        <w:t xml:space="preserve">The exemption applies regardless of frequency or volume as long as the disclosure supports TPO as defined under HIPAA.</w:t>
      </w:r>
    </w:p>
    <w:p>
      <w:pPr>
        <w:numPr>
          <w:ilvl w:val="0"/>
          <w:numId w:val="49"/>
        </w:numPr>
        <w:spacing w:line="360" w:before="105" w:after="105" w:lineRule="auto"/>
      </w:pPr>
      <w:r>
        <w:rPr>
          <w:rFonts w:eastAsia="inter" w:cs="inter" w:ascii="inter" w:hAnsi="inter"/>
          <w:color w:val="000000"/>
          <w:sz w:val="21"/>
        </w:rPr>
        <w:t xml:space="preserve">Certain uses like BA’s own management and data aggregation for covered entity’s operations are also exempt if authorized by BAA.</w:t>
      </w:r>
      <w:bookmarkStart w:id="337" w:name="fnref242:1"/>
      <w:bookmarkEnd w:id="337"/>
      <w:hyperlink w:anchor="fn242">
        <w:r>
          <w:rPr>
            <w:rFonts w:eastAsia="inter" w:cs="inter" w:ascii="inter" w:hAnsi="inter"/>
            <w:color w:val="#000"/>
            <w:sz w:val="21"/>
            <w:u w:val="single"/>
            <w:vertAlign w:val="superscript"/>
          </w:rPr>
          <w:t xml:space="preserve">[242]</w:t>
        </w:r>
      </w:hyperlink>
      <w:bookmarkStart w:id="338" w:name="fnref243:1"/>
      <w:bookmarkEnd w:id="338"/>
      <w:hyperlink w:anchor="fn243">
        <w:r>
          <w:rPr>
            <w:rFonts w:eastAsia="inter" w:cs="inter" w:ascii="inter" w:hAnsi="inter"/>
            <w:color w:val="#000"/>
            <w:sz w:val="21"/>
            <w:u w:val="single"/>
            <w:vertAlign w:val="superscript"/>
          </w:rPr>
          <w:t xml:space="preserve">[243]</w:t>
        </w:r>
      </w:hyperlink>
      <w:bookmarkStart w:id="339" w:name="fnref244:1"/>
      <w:bookmarkEnd w:id="339"/>
      <w:hyperlink w:anchor="fn244">
        <w:r>
          <w:rPr>
            <w:rFonts w:eastAsia="inter" w:cs="inter" w:ascii="inter" w:hAnsi="inter"/>
            <w:color w:val="#000"/>
            <w:sz w:val="21"/>
            <w:u w:val="single"/>
            <w:vertAlign w:val="superscript"/>
          </w:rPr>
          <w:t xml:space="preserve">[244]</w:t>
        </w:r>
      </w:hyperlink>
      <w:bookmarkStart w:id="340" w:name="fnref241:2"/>
      <w:bookmarkEnd w:id="340"/>
      <w:hyperlink w:anchor="fn241">
        <w:r>
          <w:rPr>
            <w:rFonts w:eastAsia="inter" w:cs="inter" w:ascii="inter" w:hAnsi="inter"/>
            <w:color w:val="#000"/>
            <w:sz w:val="21"/>
            <w:u w:val="single"/>
            <w:vertAlign w:val="superscript"/>
          </w:rPr>
          <w:t xml:space="preserve">[241]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What specific written attestation from a BA lets me accept their disclosure log entries?</w:t>
      </w:r>
    </w:p>
    <w:p>
      <w:pPr>
        <w:numPr>
          <w:ilvl w:val="0"/>
          <w:numId w:val="50"/>
        </w:numPr>
        <w:spacing w:line="360" w:before="105" w:after="105" w:lineRule="auto"/>
      </w:pPr>
      <w:r>
        <w:rPr>
          <w:rFonts w:eastAsia="inter" w:cs="inter" w:ascii="inter" w:hAnsi="inter"/>
          <w:color w:val="000000"/>
          <w:sz w:val="21"/>
        </w:rPr>
        <w:t xml:space="preserve">A signed </w:t>
      </w:r>
      <w:r>
        <w:rPr>
          <w:rFonts w:eastAsia="inter" w:cs="inter" w:ascii="inter" w:hAnsi="inter"/>
          <w:b/>
          <w:color w:val="000000"/>
          <w:sz w:val="21"/>
        </w:rPr>
        <w:t xml:space="preserve">Business Associate Agreement (BAA)</w:t>
      </w:r>
      <w:r>
        <w:rPr>
          <w:rFonts w:eastAsia="inter" w:cs="inter" w:ascii="inter" w:hAnsi="inter"/>
          <w:color w:val="000000"/>
          <w:sz w:val="21"/>
        </w:rPr>
        <w:t xml:space="preserve"> mandating:</w:t>
      </w:r>
    </w:p>
    <w:p>
      <w:pPr>
        <w:numPr>
          <w:ilvl w:val="1"/>
          <w:numId w:val="50"/>
        </w:numPr>
        <w:spacing w:line="360" w:before="105" w:after="105" w:lineRule="auto"/>
      </w:pPr>
      <w:r>
        <w:rPr>
          <w:rFonts w:eastAsia="inter" w:cs="inter" w:ascii="inter" w:hAnsi="inter"/>
          <w:color w:val="000000"/>
          <w:sz w:val="21"/>
        </w:rPr>
        <w:t xml:space="preserve">Maintenance of accurate, complete disclosure logs compliant with HIPAA §164.528.</w:t>
      </w:r>
    </w:p>
    <w:p>
      <w:pPr>
        <w:numPr>
          <w:ilvl w:val="1"/>
          <w:numId w:val="50"/>
        </w:numPr>
        <w:spacing w:line="360" w:before="105" w:after="105" w:lineRule="auto"/>
      </w:pPr>
      <w:r>
        <w:rPr>
          <w:rFonts w:eastAsia="inter" w:cs="inter" w:ascii="inter" w:hAnsi="inter"/>
          <w:color w:val="000000"/>
          <w:sz w:val="21"/>
        </w:rPr>
        <w:t xml:space="preserve">Granting the covered entity access to disclosure records for audits and accounting.</w:t>
      </w:r>
    </w:p>
    <w:p>
      <w:pPr>
        <w:numPr>
          <w:ilvl w:val="1"/>
          <w:numId w:val="50"/>
        </w:numPr>
        <w:spacing w:line="360" w:before="105" w:after="105" w:lineRule="auto"/>
      </w:pPr>
      <w:r>
        <w:rPr>
          <w:rFonts w:eastAsia="inter" w:cs="inter" w:ascii="inter" w:hAnsi="inter"/>
          <w:color w:val="000000"/>
          <w:sz w:val="21"/>
        </w:rPr>
        <w:t xml:space="preserve">Compliance with all HIPAA requirements including breach reporting.</w:t>
      </w:r>
    </w:p>
    <w:p>
      <w:pPr>
        <w:numPr>
          <w:ilvl w:val="0"/>
          <w:numId w:val="50"/>
        </w:numPr>
        <w:spacing w:line="360" w:before="105" w:after="105" w:lineRule="auto"/>
      </w:pPr>
      <w:r>
        <w:rPr>
          <w:rFonts w:eastAsia="inter" w:cs="inter" w:ascii="inter" w:hAnsi="inter"/>
          <w:color w:val="000000"/>
          <w:sz w:val="21"/>
        </w:rPr>
        <w:t xml:space="preserve">Periodic written </w:t>
      </w:r>
      <w:r>
        <w:rPr>
          <w:rFonts w:eastAsia="inter" w:cs="inter" w:ascii="inter" w:hAnsi="inter"/>
          <w:b/>
          <w:color w:val="000000"/>
          <w:sz w:val="21"/>
        </w:rPr>
        <w:t xml:space="preserve">attestations or certifications</w:t>
      </w:r>
      <w:r>
        <w:rPr>
          <w:rFonts w:eastAsia="inter" w:cs="inter" w:ascii="inter" w:hAnsi="inter"/>
          <w:color w:val="000000"/>
          <w:sz w:val="21"/>
        </w:rPr>
        <w:t xml:space="preserve"> verifying completeness and accuracy of disclosure logs.</w:t>
      </w:r>
    </w:p>
    <w:p>
      <w:pPr>
        <w:numPr>
          <w:ilvl w:val="0"/>
          <w:numId w:val="50"/>
        </w:numPr>
        <w:spacing w:line="360" w:before="105" w:after="105" w:lineRule="auto"/>
      </w:pPr>
      <w:r>
        <w:rPr>
          <w:rFonts w:eastAsia="inter" w:cs="inter" w:ascii="inter" w:hAnsi="inter"/>
          <w:color w:val="000000"/>
          <w:sz w:val="21"/>
        </w:rPr>
        <w:t xml:space="preserve">Documentation specifying record format, retention period, and reporting cadence.</w:t>
      </w:r>
      <w:bookmarkStart w:id="341" w:name="fnref246:1"/>
      <w:bookmarkEnd w:id="341"/>
      <w:hyperlink w:anchor="fn246">
        <w:r>
          <w:rPr>
            <w:rFonts w:eastAsia="inter" w:cs="inter" w:ascii="inter" w:hAnsi="inter"/>
            <w:color w:val="#000"/>
            <w:sz w:val="21"/>
            <w:u w:val="single"/>
            <w:vertAlign w:val="superscript"/>
          </w:rPr>
          <w:t xml:space="preserve">[246]</w:t>
        </w:r>
      </w:hyperlink>
      <w:bookmarkStart w:id="342" w:name="fnref245:2"/>
      <w:bookmarkEnd w:id="342"/>
      <w:hyperlink w:anchor="fn245">
        <w:r>
          <w:rPr>
            <w:rFonts w:eastAsia="inter" w:cs="inter" w:ascii="inter" w:hAnsi="inter"/>
            <w:color w:val="#000"/>
            <w:sz w:val="21"/>
            <w:u w:val="single"/>
            <w:vertAlign w:val="superscript"/>
          </w:rPr>
          <w:t xml:space="preserve">[245]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do I document each subcontractor tier when tracing a BA chain for an accounting?</w:t>
      </w:r>
    </w:p>
    <w:p>
      <w:pPr>
        <w:numPr>
          <w:ilvl w:val="0"/>
          <w:numId w:val="51"/>
        </w:numPr>
        <w:spacing w:line="360" w:before="105" w:after="105" w:lineRule="auto"/>
      </w:pPr>
      <w:r>
        <w:rPr>
          <w:rFonts w:eastAsia="inter" w:cs="inter" w:ascii="inter" w:hAnsi="inter"/>
          <w:color w:val="000000"/>
          <w:sz w:val="21"/>
        </w:rPr>
        <w:t xml:space="preserve">Verify BA has binding </w:t>
      </w:r>
      <w:r>
        <w:rPr>
          <w:rFonts w:eastAsia="inter" w:cs="inter" w:ascii="inter" w:hAnsi="inter"/>
          <w:b/>
          <w:color w:val="000000"/>
          <w:sz w:val="21"/>
        </w:rPr>
        <w:t xml:space="preserve">subcontractor agreements</w:t>
      </w:r>
      <w:r>
        <w:rPr>
          <w:rFonts w:eastAsia="inter" w:cs="inter" w:ascii="inter" w:hAnsi="inter"/>
          <w:color w:val="000000"/>
          <w:sz w:val="21"/>
        </w:rPr>
        <w:t xml:space="preserve"> ensuring PHI protection and disclosure recordkeeping.</w:t>
      </w:r>
    </w:p>
    <w:p>
      <w:pPr>
        <w:numPr>
          <w:ilvl w:val="0"/>
          <w:numId w:val="51"/>
        </w:numPr>
        <w:spacing w:line="360" w:before="105" w:after="105" w:lineRule="auto"/>
      </w:pPr>
      <w:r>
        <w:rPr>
          <w:rFonts w:eastAsia="inter" w:cs="inter" w:ascii="inter" w:hAnsi="inter"/>
          <w:color w:val="000000"/>
          <w:sz w:val="21"/>
        </w:rPr>
        <w:t xml:space="preserve">Require BA to collect detailed disclosure logs from subcontractors, including date, recipient, PHI type, and purpose.</w:t>
      </w:r>
    </w:p>
    <w:p>
      <w:pPr>
        <w:numPr>
          <w:ilvl w:val="0"/>
          <w:numId w:val="51"/>
        </w:numPr>
        <w:spacing w:line="360" w:before="105" w:after="105" w:lineRule="auto"/>
      </w:pPr>
      <w:r>
        <w:rPr>
          <w:rFonts w:eastAsia="inter" w:cs="inter" w:ascii="inter" w:hAnsi="inter"/>
          <w:color w:val="000000"/>
          <w:sz w:val="21"/>
        </w:rPr>
        <w:t xml:space="preserve">BA consolidates subcontractor logs into comprehensive reports.</w:t>
      </w:r>
    </w:p>
    <w:p>
      <w:pPr>
        <w:numPr>
          <w:ilvl w:val="0"/>
          <w:numId w:val="51"/>
        </w:numPr>
        <w:spacing w:line="360" w:before="105" w:after="105" w:lineRule="auto"/>
      </w:pPr>
      <w:r>
        <w:rPr>
          <w:rFonts w:eastAsia="inter" w:cs="inter" w:ascii="inter" w:hAnsi="inter"/>
          <w:color w:val="000000"/>
          <w:sz w:val="21"/>
        </w:rPr>
        <w:t xml:space="preserve">Covered entity records these consolidated disclosure chains in a master accounting record, tracking each subcontractor tier.</w:t>
      </w:r>
    </w:p>
    <w:p>
      <w:pPr>
        <w:numPr>
          <w:ilvl w:val="0"/>
          <w:numId w:val="51"/>
        </w:numPr>
        <w:spacing w:line="360" w:before="105" w:after="105" w:lineRule="auto"/>
      </w:pPr>
      <w:r>
        <w:rPr>
          <w:rFonts w:eastAsia="inter" w:cs="inter" w:ascii="inter" w:hAnsi="inter"/>
          <w:color w:val="000000"/>
          <w:sz w:val="21"/>
        </w:rPr>
        <w:t xml:space="preserve">Ensure complete traceability to facilitate audits and individual disclosure requests.</w:t>
      </w:r>
      <w:bookmarkStart w:id="343" w:name="fnref248:1"/>
      <w:bookmarkEnd w:id="343"/>
      <w:hyperlink w:anchor="fn248">
        <w:r>
          <w:rPr>
            <w:rFonts w:eastAsia="inter" w:cs="inter" w:ascii="inter" w:hAnsi="inter"/>
            <w:color w:val="#000"/>
            <w:sz w:val="21"/>
            <w:u w:val="single"/>
            <w:vertAlign w:val="superscript"/>
          </w:rPr>
          <w:t xml:space="preserve">[248]</w:t>
        </w:r>
      </w:hyperlink>
      <w:bookmarkStart w:id="344" w:name="fnref249:1"/>
      <w:bookmarkEnd w:id="344"/>
      <w:hyperlink w:anchor="fn249">
        <w:r>
          <w:rPr>
            <w:rFonts w:eastAsia="inter" w:cs="inter" w:ascii="inter" w:hAnsi="inter"/>
            <w:color w:val="#000"/>
            <w:sz w:val="21"/>
            <w:u w:val="single"/>
            <w:vertAlign w:val="superscript"/>
          </w:rPr>
          <w:t xml:space="preserve">[249]</w:t>
        </w:r>
      </w:hyperlink>
      <w:bookmarkStart w:id="345" w:name="fnref247:2"/>
      <w:bookmarkEnd w:id="345"/>
      <w:hyperlink w:anchor="fn247">
        <w:r>
          <w:rPr>
            <w:rFonts w:eastAsia="inter" w:cs="inter" w:ascii="inter" w:hAnsi="inter"/>
            <w:color w:val="#000"/>
            <w:sz w:val="21"/>
            <w:u w:val="single"/>
            <w:vertAlign w:val="superscript"/>
          </w:rPr>
          <w:t xml:space="preserve">[247]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What extra accounting fields do I add when a BA reports PHI to a public health authority?</w:t>
      </w:r>
    </w:p>
    <w:p>
      <w:pPr>
        <w:numPr>
          <w:ilvl w:val="0"/>
          <w:numId w:val="52"/>
        </w:numPr>
        <w:spacing w:line="360" w:before="105" w:after="105" w:lineRule="auto"/>
      </w:pPr>
      <w:r>
        <w:rPr>
          <w:rFonts w:eastAsia="inter" w:cs="inter" w:ascii="inter" w:hAnsi="inter"/>
          <w:color w:val="000000"/>
          <w:sz w:val="21"/>
        </w:rPr>
        <w:t xml:space="preserve">Add fields for:</w:t>
      </w:r>
    </w:p>
    <w:p>
      <w:pPr>
        <w:numPr>
          <w:ilvl w:val="1"/>
          <w:numId w:val="52"/>
        </w:numPr>
        <w:spacing w:line="360" w:before="105" w:after="105" w:lineRule="auto"/>
      </w:pPr>
      <w:r>
        <w:rPr>
          <w:rFonts w:eastAsia="inter" w:cs="inter" w:ascii="inter" w:hAnsi="inter"/>
          <w:color w:val="000000"/>
          <w:sz w:val="21"/>
        </w:rPr>
        <w:t xml:space="preserve">Identity of the </w:t>
      </w:r>
      <w:r>
        <w:rPr>
          <w:rFonts w:eastAsia="inter" w:cs="inter" w:ascii="inter" w:hAnsi="inter"/>
          <w:b/>
          <w:color w:val="000000"/>
          <w:sz w:val="21"/>
        </w:rPr>
        <w:t xml:space="preserve">public health authority</w:t>
      </w:r>
      <w:r>
        <w:rPr>
          <w:rFonts w:eastAsia="inter" w:cs="inter" w:ascii="inter" w:hAnsi="inter"/>
          <w:color w:val="000000"/>
          <w:sz w:val="21"/>
        </w:rPr>
        <w:t xml:space="preserve">.</w:t>
      </w:r>
    </w:p>
    <w:p>
      <w:pPr>
        <w:numPr>
          <w:ilvl w:val="1"/>
          <w:numId w:val="52"/>
        </w:numPr>
        <w:spacing w:line="360" w:before="105" w:after="105" w:lineRule="auto"/>
      </w:pPr>
      <w:r>
        <w:rPr>
          <w:rFonts w:eastAsia="inter" w:cs="inter" w:ascii="inter" w:hAnsi="inter"/>
          <w:color w:val="000000"/>
          <w:sz w:val="21"/>
        </w:rPr>
        <w:t xml:space="preserve">Date of disclosure.</w:t>
      </w:r>
    </w:p>
    <w:p>
      <w:pPr>
        <w:numPr>
          <w:ilvl w:val="1"/>
          <w:numId w:val="52"/>
        </w:numPr>
        <w:spacing w:line="360" w:before="105" w:after="105" w:lineRule="auto"/>
      </w:pPr>
      <w:r>
        <w:rPr>
          <w:rFonts w:eastAsia="inter" w:cs="inter" w:ascii="inter" w:hAnsi="inter"/>
          <w:color w:val="000000"/>
          <w:sz w:val="21"/>
        </w:rPr>
        <w:t xml:space="preserve">Legal authority mandating the disclosure.</w:t>
      </w:r>
    </w:p>
    <w:p>
      <w:pPr>
        <w:numPr>
          <w:ilvl w:val="1"/>
          <w:numId w:val="52"/>
        </w:numPr>
        <w:spacing w:line="360" w:before="105" w:after="105" w:lineRule="auto"/>
      </w:pPr>
      <w:r>
        <w:rPr>
          <w:rFonts w:eastAsia="inter" w:cs="inter" w:ascii="inter" w:hAnsi="inter"/>
          <w:color w:val="000000"/>
          <w:sz w:val="21"/>
        </w:rPr>
        <w:t xml:space="preserve">Purpose tied to public health surveillance or disease reporting.</w:t>
      </w:r>
    </w:p>
    <w:p>
      <w:pPr>
        <w:numPr>
          <w:ilvl w:val="1"/>
          <w:numId w:val="52"/>
        </w:numPr>
        <w:spacing w:line="360" w:before="105" w:after="105" w:lineRule="auto"/>
      </w:pPr>
      <w:r>
        <w:rPr>
          <w:rFonts w:eastAsia="inter" w:cs="inter" w:ascii="inter" w:hAnsi="inter"/>
          <w:color w:val="000000"/>
          <w:sz w:val="21"/>
        </w:rPr>
        <w:t xml:space="preserve">Description of PHI disclosed.</w:t>
      </w:r>
    </w:p>
    <w:p>
      <w:pPr>
        <w:numPr>
          <w:ilvl w:val="1"/>
          <w:numId w:val="52"/>
        </w:numPr>
        <w:spacing w:line="360" w:before="105" w:after="105" w:lineRule="auto"/>
      </w:pPr>
      <w:r>
        <w:rPr>
          <w:rFonts w:eastAsia="inter" w:cs="inter" w:ascii="inter" w:hAnsi="inter"/>
          <w:color w:val="000000"/>
          <w:sz w:val="21"/>
        </w:rPr>
        <w:t xml:space="preserve">Exemption status from individual accounting rights (if applicable).</w:t>
      </w:r>
    </w:p>
    <w:p>
      <w:pPr>
        <w:numPr>
          <w:ilvl w:val="0"/>
          <w:numId w:val="52"/>
        </w:numPr>
        <w:spacing w:line="360" w:before="105" w:after="105" w:lineRule="auto"/>
      </w:pPr>
      <w:r>
        <w:rPr>
          <w:rFonts w:eastAsia="inter" w:cs="inter" w:ascii="inter" w:hAnsi="inter"/>
          <w:color w:val="000000"/>
          <w:sz w:val="21"/>
        </w:rPr>
        <w:t xml:space="preserve">These enhance regulatory compliance and internal auditing.</w:t>
      </w:r>
      <w:bookmarkStart w:id="346" w:name="fnref250:2"/>
      <w:bookmarkEnd w:id="346"/>
      <w:hyperlink w:anchor="fn250">
        <w:r>
          <w:rPr>
            <w:rFonts w:eastAsia="inter" w:cs="inter" w:ascii="inter" w:hAnsi="inter"/>
            <w:color w:val="#000"/>
            <w:sz w:val="21"/>
            <w:u w:val="single"/>
            <w:vertAlign w:val="superscript"/>
          </w:rPr>
          <w:t xml:space="preserve">[250]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How should I record and store required mitigation steps after a BA’s impermissible PHI disclosure?</w:t>
      </w:r>
    </w:p>
    <w:p>
      <w:pPr>
        <w:numPr>
          <w:ilvl w:val="0"/>
          <w:numId w:val="53"/>
        </w:numPr>
        <w:spacing w:line="360" w:before="105" w:after="105" w:lineRule="auto"/>
      </w:pPr>
      <w:r>
        <w:rPr>
          <w:rFonts w:eastAsia="inter" w:cs="inter" w:ascii="inter" w:hAnsi="inter"/>
          <w:color w:val="000000"/>
          <w:sz w:val="21"/>
        </w:rPr>
        <w:t xml:space="preserve">Create a detailed incident report including:</w:t>
      </w:r>
    </w:p>
    <w:p>
      <w:pPr>
        <w:numPr>
          <w:ilvl w:val="1"/>
          <w:numId w:val="53"/>
        </w:numPr>
        <w:spacing w:line="360" w:before="105" w:after="105" w:lineRule="auto"/>
      </w:pPr>
      <w:r>
        <w:rPr>
          <w:rFonts w:eastAsia="inter" w:cs="inter" w:ascii="inter" w:hAnsi="inter"/>
          <w:color w:val="000000"/>
          <w:sz w:val="21"/>
        </w:rPr>
        <w:t xml:space="preserve">Incident description (date, PHI involved).</w:t>
      </w:r>
    </w:p>
    <w:p>
      <w:pPr>
        <w:numPr>
          <w:ilvl w:val="1"/>
          <w:numId w:val="53"/>
        </w:numPr>
        <w:spacing w:line="360" w:before="105" w:after="105" w:lineRule="auto"/>
      </w:pPr>
      <w:r>
        <w:rPr>
          <w:rFonts w:eastAsia="inter" w:cs="inter" w:ascii="inter" w:hAnsi="inter"/>
          <w:color w:val="000000"/>
          <w:sz w:val="21"/>
        </w:rPr>
        <w:t xml:space="preserve">Mitigation actions (containment, notification, remediation).</w:t>
      </w:r>
    </w:p>
    <w:p>
      <w:pPr>
        <w:numPr>
          <w:ilvl w:val="1"/>
          <w:numId w:val="53"/>
        </w:numPr>
        <w:spacing w:line="360" w:before="105" w:after="105" w:lineRule="auto"/>
      </w:pPr>
      <w:r>
        <w:rPr>
          <w:rFonts w:eastAsia="inter" w:cs="inter" w:ascii="inter" w:hAnsi="inter"/>
          <w:color w:val="000000"/>
          <w:sz w:val="21"/>
        </w:rPr>
        <w:t xml:space="preserve">Communication with BA on corrective measures.</w:t>
      </w:r>
    </w:p>
    <w:p>
      <w:pPr>
        <w:numPr>
          <w:ilvl w:val="1"/>
          <w:numId w:val="53"/>
        </w:numPr>
        <w:spacing w:line="360" w:before="105" w:after="105" w:lineRule="auto"/>
      </w:pPr>
      <w:r>
        <w:rPr>
          <w:rFonts w:eastAsia="inter" w:cs="inter" w:ascii="inter" w:hAnsi="inter"/>
          <w:color w:val="000000"/>
          <w:sz w:val="21"/>
        </w:rPr>
        <w:t xml:space="preserve">Post-incident policy changes or staff training.</w:t>
      </w:r>
    </w:p>
    <w:p>
      <w:pPr>
        <w:numPr>
          <w:ilvl w:val="0"/>
          <w:numId w:val="53"/>
        </w:numPr>
        <w:spacing w:line="360" w:before="105" w:after="105" w:lineRule="auto"/>
      </w:pPr>
      <w:r>
        <w:rPr>
          <w:rFonts w:eastAsia="inter" w:cs="inter" w:ascii="inter" w:hAnsi="inter"/>
          <w:color w:val="000000"/>
          <w:sz w:val="21"/>
        </w:rPr>
        <w:t xml:space="preserve">Store securely in compliance or incident management systems.</w:t>
      </w:r>
    </w:p>
    <w:p>
      <w:pPr>
        <w:numPr>
          <w:ilvl w:val="0"/>
          <w:numId w:val="53"/>
        </w:numPr>
        <w:spacing w:line="360" w:before="105" w:after="105" w:lineRule="auto"/>
      </w:pPr>
      <w:r>
        <w:rPr>
          <w:rFonts w:eastAsia="inter" w:cs="inter" w:ascii="inter" w:hAnsi="inter"/>
          <w:color w:val="000000"/>
          <w:sz w:val="21"/>
        </w:rPr>
        <w:t xml:space="preserve">Link mitigation documentation to the related disclosure for traceability.</w:t>
      </w:r>
      <w:bookmarkStart w:id="347" w:name="fnref251:1"/>
      <w:bookmarkEnd w:id="347"/>
      <w:hyperlink w:anchor="fn251">
        <w:r>
          <w:rPr>
            <w:rFonts w:eastAsia="inter" w:cs="inter" w:ascii="inter" w:hAnsi="inter"/>
            <w:color w:val="#000"/>
            <w:sz w:val="21"/>
            <w:u w:val="single"/>
            <w:vertAlign w:val="superscript"/>
          </w:rPr>
          <w:t xml:space="preserve">[251]</w:t>
        </w:r>
      </w:hyperlink>
      <w:bookmarkStart w:id="348" w:name="fnref252:2"/>
      <w:bookmarkEnd w:id="348"/>
      <w:hyperlink w:anchor="fn252">
        <w:r>
          <w:rPr>
            <w:rFonts w:eastAsia="inter" w:cs="inter" w:ascii="inter" w:hAnsi="inter"/>
            <w:color w:val="#000"/>
            <w:sz w:val="21"/>
            <w:u w:val="single"/>
            <w:vertAlign w:val="superscript"/>
          </w:rPr>
          <w:t xml:space="preserve">[252]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comprehensive approach keeps rÆ’s HIPAA compliance airtight, transparent, and audit-ready while managing PHI disclosures effectively across all BA and subcontractor tiers.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49" w:name="fn1"/>
    <w:bookmarkEnd w:id="349"/>
    <w:p>
      <w:pPr>
        <w:numPr>
          <w:ilvl w:val="0"/>
          <w:numId w:val="55"/>
        </w:numPr>
        <w:spacing w:line="360" w:after="210" w:lineRule="auto"/>
      </w:pPr>
      <w:hyperlink r:id="rId7">
        <w:r>
          <w:rPr>
            <w:rFonts w:eastAsia="inter" w:cs="inter" w:ascii="inter" w:hAnsi="inter"/>
            <w:color w:val="#000"/>
            <w:sz w:val="18"/>
            <w:u w:val="single"/>
          </w:rPr>
          <w:t xml:space="preserve">https://pmc.ncbi.nlm.nih.gov/articles/PMC3723489/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0" w:name="fn2"/>
    <w:bookmarkEnd w:id="350"/>
    <w:p>
      <w:pPr>
        <w:numPr>
          <w:ilvl w:val="0"/>
          <w:numId w:val="55"/>
        </w:numPr>
        <w:spacing w:line="360" w:after="210" w:lineRule="auto"/>
      </w:pPr>
      <w:hyperlink r:id="rId8">
        <w:r>
          <w:rPr>
            <w:rFonts w:eastAsia="inter" w:cs="inter" w:ascii="inter" w:hAnsi="inter"/>
            <w:color w:val="#000"/>
            <w:sz w:val="18"/>
            <w:u w:val="single"/>
          </w:rPr>
          <w:t xml:space="preserve">https://www.the-scientist.com/how-speculative-fiction-expands-scientific-horizons-72855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1" w:name="fn3"/>
    <w:bookmarkEnd w:id="351"/>
    <w:p>
      <w:pPr>
        <w:numPr>
          <w:ilvl w:val="0"/>
          <w:numId w:val="55"/>
        </w:numPr>
        <w:spacing w:line="360" w:after="210" w:lineRule="auto"/>
      </w:pPr>
      <w:hyperlink r:id="rId9">
        <w:r>
          <w:rPr>
            <w:rFonts w:eastAsia="inter" w:cs="inter" w:ascii="inter" w:hAnsi="inter"/>
            <w:color w:val="#000"/>
            <w:sz w:val="18"/>
            <w:u w:val="single"/>
          </w:rPr>
          <w:t xml:space="preserve">https://archleague.org/article/speculative-science/</w:t>
        </w:r>
      </w:hyperlink>
      <w:r>
        <w:rPr>
          <w:rFonts w:eastAsia="inter" w:cs="inter" w:ascii="inter" w:hAnsi="inter"/>
          <w:color w:val="000000"/>
          <w:sz w:val="18"/>
        </w:rPr>
        <w:t xml:space="preserve"> </w:t>
      </w:r>
    </w:p>
    <w:bookmarkStart w:id="352" w:name="fn4"/>
    <w:bookmarkEnd w:id="352"/>
    <w:p>
      <w:pPr>
        <w:numPr>
          <w:ilvl w:val="0"/>
          <w:numId w:val="55"/>
        </w:numPr>
        <w:spacing w:line="360" w:after="210" w:lineRule="auto"/>
      </w:pPr>
      <w:hyperlink r:id="rId10">
        <w:r>
          <w:rPr>
            <w:rFonts w:eastAsia="inter" w:cs="inter" w:ascii="inter" w:hAnsi="inter"/>
            <w:color w:val="#000"/>
            <w:sz w:val="18"/>
            <w:u w:val="single"/>
          </w:rPr>
          <w:t xml:space="preserve">https://democracyforward.org/the-peoples-guide-to-project-2025/</w:t>
        </w:r>
      </w:hyperlink>
      <w:r>
        <w:rPr>
          <w:rFonts w:eastAsia="inter" w:cs="inter" w:ascii="inter" w:hAnsi="inter"/>
          <w:color w:val="000000"/>
          <w:sz w:val="18"/>
        </w:rPr>
        <w:t xml:space="preserve"> </w:t>
      </w:r>
    </w:p>
    <w:bookmarkStart w:id="353" w:name="fn5"/>
    <w:bookmarkEnd w:id="353"/>
    <w:p>
      <w:pPr>
        <w:numPr>
          <w:ilvl w:val="0"/>
          <w:numId w:val="55"/>
        </w:numPr>
        <w:spacing w:line="360" w:after="210" w:lineRule="auto"/>
      </w:pPr>
      <w:hyperlink r:id="rId11">
        <w:r>
          <w:rPr>
            <w:rFonts w:eastAsia="inter" w:cs="inter" w:ascii="inter" w:hAnsi="inter"/>
            <w:color w:val="#000"/>
            <w:sz w:val="18"/>
            <w:u w:val="single"/>
          </w:rPr>
          <w:t xml:space="preserve">https://repos.ecosyste.ms/topics/aura</w:t>
        </w:r>
      </w:hyperlink>
      <w:r>
        <w:rPr>
          <w:rFonts w:eastAsia="inter" w:cs="inter" w:ascii="inter" w:hAnsi="inter"/>
          <w:color w:val="000000"/>
          <w:sz w:val="18"/>
        </w:rPr>
        <w:t xml:space="preserve"> </w:t>
      </w:r>
    </w:p>
    <w:bookmarkStart w:id="354" w:name="fn6"/>
    <w:bookmarkEnd w:id="354"/>
    <w:p>
      <w:pPr>
        <w:numPr>
          <w:ilvl w:val="0"/>
          <w:numId w:val="55"/>
        </w:numPr>
        <w:spacing w:line="360" w:after="210" w:lineRule="auto"/>
      </w:pPr>
      <w:hyperlink r:id="rId12">
        <w:r>
          <w:rPr>
            <w:rFonts w:eastAsia="inter" w:cs="inter" w:ascii="inter" w:hAnsi="inter"/>
            <w:color w:val="#000"/>
            <w:sz w:val="18"/>
            <w:u w:val="single"/>
          </w:rPr>
          <w:t xml:space="preserve">https://www.reddit.com/r/Physics/comments/ftid2/has_anyone_else_noticed_an_unusually_large_number/</w:t>
        </w:r>
      </w:hyperlink>
      <w:r>
        <w:rPr>
          <w:rFonts w:eastAsia="inter" w:cs="inter" w:ascii="inter" w:hAnsi="inter"/>
          <w:color w:val="000000"/>
          <w:sz w:val="18"/>
        </w:rPr>
        <w:t xml:space="preserve"> </w:t>
      </w:r>
    </w:p>
    <w:bookmarkStart w:id="355" w:name="fn7"/>
    <w:bookmarkEnd w:id="355"/>
    <w:p>
      <w:pPr>
        <w:numPr>
          <w:ilvl w:val="0"/>
          <w:numId w:val="55"/>
        </w:numPr>
        <w:spacing w:line="360" w:after="210" w:lineRule="auto"/>
      </w:pPr>
      <w:hyperlink r:id="rId13">
        <w:r>
          <w:rPr>
            <w:rFonts w:eastAsia="inter" w:cs="inter" w:ascii="inter" w:hAnsi="inter"/>
            <w:color w:val="#000"/>
            <w:sz w:val="18"/>
            <w:u w:val="single"/>
          </w:rPr>
          <w:t xml:space="preserve">https://www.pbs.org/newshour/show/a-look-at-the-project-2025-plan-to-reshape-government-and-trumps-links-to-its-authors</w:t>
        </w:r>
      </w:hyperlink>
      <w:r>
        <w:rPr>
          <w:rFonts w:eastAsia="inter" w:cs="inter" w:ascii="inter" w:hAnsi="inter"/>
          <w:color w:val="000000"/>
          <w:sz w:val="18"/>
        </w:rPr>
        <w:t xml:space="preserve"> </w:t>
      </w:r>
    </w:p>
    <w:bookmarkStart w:id="356" w:name="fn8"/>
    <w:bookmarkEnd w:id="356"/>
    <w:p>
      <w:pPr>
        <w:numPr>
          <w:ilvl w:val="0"/>
          <w:numId w:val="55"/>
        </w:numPr>
        <w:spacing w:line="360" w:after="210" w:lineRule="auto"/>
      </w:pPr>
      <w:hyperlink r:id="rId14">
        <w:r>
          <w:rPr>
            <w:rFonts w:eastAsia="inter" w:cs="inter" w:ascii="inter" w:hAnsi="inter"/>
            <w:color w:val="#000"/>
            <w:sz w:val="18"/>
            <w:u w:val="single"/>
          </w:rPr>
          <w:t xml:space="preserve">https://www.youtube.com/watch?v=D9oC95C_7_4</w:t>
        </w:r>
      </w:hyperlink>
      <w:r>
        <w:rPr>
          <w:rFonts w:eastAsia="inter" w:cs="inter" w:ascii="inter" w:hAnsi="inter"/>
          <w:color w:val="000000"/>
          <w:sz w:val="18"/>
        </w:rPr>
        <w:t xml:space="preserve"> </w:t>
      </w:r>
    </w:p>
    <w:bookmarkStart w:id="357" w:name="fn9"/>
    <w:bookmarkEnd w:id="357"/>
    <w:p>
      <w:pPr>
        <w:numPr>
          <w:ilvl w:val="0"/>
          <w:numId w:val="55"/>
        </w:numPr>
        <w:spacing w:line="360" w:after="210" w:lineRule="auto"/>
      </w:pPr>
      <w:hyperlink r:id="rId15">
        <w:r>
          <w:rPr>
            <w:rFonts w:eastAsia="inter" w:cs="inter" w:ascii="inter" w:hAnsi="inter"/>
            <w:color w:val="#000"/>
            <w:sz w:val="18"/>
            <w:u w:val="single"/>
          </w:rPr>
          <w:t xml:space="preserve">https://www.icr.org/content/speculation-invention-and-invisible-hand</w:t>
        </w:r>
      </w:hyperlink>
      <w:r>
        <w:rPr>
          <w:rFonts w:eastAsia="inter" w:cs="inter" w:ascii="inter" w:hAnsi="inter"/>
          <w:color w:val="000000"/>
          <w:sz w:val="18"/>
        </w:rPr>
        <w:t xml:space="preserve"> </w:t>
      </w:r>
    </w:p>
    <w:bookmarkStart w:id="358" w:name="fn10"/>
    <w:bookmarkEnd w:id="358"/>
    <w:p>
      <w:pPr>
        <w:numPr>
          <w:ilvl w:val="0"/>
          <w:numId w:val="55"/>
        </w:numPr>
        <w:spacing w:line="360" w:after="210" w:lineRule="auto"/>
      </w:pPr>
      <w:hyperlink r:id="rId16">
        <w:r>
          <w:rPr>
            <w:rFonts w:eastAsia="inter" w:cs="inter" w:ascii="inter" w:hAnsi="inter"/>
            <w:color w:val="#000"/>
            <w:sz w:val="18"/>
            <w:u w:val="single"/>
          </w:rPr>
          <w:t xml:space="preserve">https://envirodatagov.org/project-2025-annotation/</w:t>
        </w:r>
      </w:hyperlink>
      <w:r>
        <w:rPr>
          <w:rFonts w:eastAsia="inter" w:cs="inter" w:ascii="inter" w:hAnsi="inter"/>
          <w:color w:val="000000"/>
          <w:sz w:val="18"/>
        </w:rPr>
        <w:t xml:space="preserve"> </w:t>
      </w:r>
    </w:p>
    <w:bookmarkStart w:id="359" w:name="fn11"/>
    <w:bookmarkEnd w:id="359"/>
    <w:p>
      <w:pPr>
        <w:numPr>
          <w:ilvl w:val="0"/>
          <w:numId w:val="55"/>
        </w:numPr>
        <w:spacing w:line="360" w:after="210" w:lineRule="auto"/>
      </w:pPr>
      <w:hyperlink r:id="rId17">
        <w:r>
          <w:rPr>
            <w:rFonts w:eastAsia="inter" w:cs="inter" w:ascii="inter" w:hAnsi="inter"/>
            <w:color w:val="#000"/>
            <w:sz w:val="18"/>
            <w:u w:val="single"/>
          </w:rPr>
          <w:t xml:space="preserve">https://distro.tube/kb/aura.html</w:t>
        </w:r>
      </w:hyperlink>
      <w:r>
        <w:rPr>
          <w:rFonts w:eastAsia="inter" w:cs="inter" w:ascii="inter" w:hAnsi="inter"/>
          <w:color w:val="000000"/>
          <w:sz w:val="18"/>
        </w:rPr>
        <w:t xml:space="preserve"> </w:t>
      </w:r>
    </w:p>
    <w:bookmarkStart w:id="360" w:name="fn12"/>
    <w:bookmarkEnd w:id="360"/>
    <w:p>
      <w:pPr>
        <w:numPr>
          <w:ilvl w:val="0"/>
          <w:numId w:val="55"/>
        </w:numPr>
        <w:spacing w:line="360" w:after="210" w:lineRule="auto"/>
      </w:pPr>
      <w:hyperlink r:id="rId18">
        <w:r>
          <w:rPr>
            <w:rFonts w:eastAsia="inter" w:cs="inter" w:ascii="inter" w:hAnsi="inter"/>
            <w:color w:val="#000"/>
            <w:sz w:val="18"/>
            <w:u w:val="single"/>
          </w:rPr>
          <w:t xml:space="preserve">https://www.sciencedirect.com/science/article/pii/S2405872621000861</w:t>
        </w:r>
      </w:hyperlink>
      <w:r>
        <w:rPr>
          <w:rFonts w:eastAsia="inter" w:cs="inter" w:ascii="inter" w:hAnsi="inter"/>
          <w:color w:val="000000"/>
          <w:sz w:val="18"/>
        </w:rPr>
        <w:t xml:space="preserve"> </w:t>
      </w:r>
    </w:p>
    <w:bookmarkStart w:id="361" w:name="fn13"/>
    <w:bookmarkEnd w:id="361"/>
    <w:p>
      <w:pPr>
        <w:numPr>
          <w:ilvl w:val="0"/>
          <w:numId w:val="55"/>
        </w:numPr>
        <w:spacing w:line="360" w:after="210" w:lineRule="auto"/>
      </w:pPr>
      <w:hyperlink r:id="rId19">
        <w:r>
          <w:rPr>
            <w:rFonts w:eastAsia="inter" w:cs="inter" w:ascii="inter" w:hAnsi="inter"/>
            <w:color w:val="#000"/>
            <w:sz w:val="18"/>
            <w:u w:val="single"/>
          </w:rPr>
          <w:t xml:space="preserve">https://www.cbsnews.com/news/what-is-project-2025-trump-conservative-blueprint-heritage-foundation/</w:t>
        </w:r>
      </w:hyperlink>
      <w:r>
        <w:rPr>
          <w:rFonts w:eastAsia="inter" w:cs="inter" w:ascii="inter" w:hAnsi="inter"/>
          <w:color w:val="000000"/>
          <w:sz w:val="18"/>
        </w:rPr>
        <w:t xml:space="preserve"> </w:t>
      </w:r>
    </w:p>
    <w:bookmarkStart w:id="362" w:name="fn14"/>
    <w:bookmarkEnd w:id="362"/>
    <w:p>
      <w:pPr>
        <w:numPr>
          <w:ilvl w:val="0"/>
          <w:numId w:val="55"/>
        </w:numPr>
        <w:spacing w:line="360" w:after="210" w:lineRule="auto"/>
      </w:pPr>
      <w:hyperlink r:id="rId20">
        <w:r>
          <w:rPr>
            <w:rFonts w:eastAsia="inter" w:cs="inter" w:ascii="inter" w:hAnsi="inter"/>
            <w:color w:val="#000"/>
            <w:sz w:val="18"/>
            <w:u w:val="single"/>
          </w:rPr>
          <w:t xml:space="preserve">https://my.lwv.org/sites/default/files/leagues/wysiwyg/[current-user:og-user-node:1:title]/project_2025_bold_attack_ejeh_and_climate.pdf</w:t>
        </w:r>
      </w:hyperlink>
      <w:r>
        <w:rPr>
          <w:rFonts w:eastAsia="inter" w:cs="inter" w:ascii="inter" w:hAnsi="inter"/>
          <w:color w:val="000000"/>
          <w:sz w:val="18"/>
        </w:rPr>
        <w:t xml:space="preserve"> </w:t>
      </w:r>
    </w:p>
    <w:bookmarkStart w:id="363" w:name="fn15"/>
    <w:bookmarkEnd w:id="363"/>
    <w:p>
      <w:pPr>
        <w:numPr>
          <w:ilvl w:val="0"/>
          <w:numId w:val="55"/>
        </w:numPr>
        <w:spacing w:line="360" w:after="210" w:lineRule="auto"/>
      </w:pPr>
      <w:hyperlink r:id="rId21">
        <w:r>
          <w:rPr>
            <w:rFonts w:eastAsia="inter" w:cs="inter" w:ascii="inter" w:hAnsi="inter"/>
            <w:color w:val="#000"/>
            <w:sz w:val="18"/>
            <w:u w:val="single"/>
          </w:rPr>
          <w:t xml:space="preserve">https://www.stackage.org/lts-16.31/package/aura-3.1.9</w:t>
        </w:r>
      </w:hyperlink>
      <w:r>
        <w:rPr>
          <w:rFonts w:eastAsia="inter" w:cs="inter" w:ascii="inter" w:hAnsi="inter"/>
          <w:color w:val="000000"/>
          <w:sz w:val="18"/>
        </w:rPr>
        <w:t xml:space="preserve"> </w:t>
      </w:r>
    </w:p>
    <w:bookmarkStart w:id="364" w:name="fn16"/>
    <w:bookmarkEnd w:id="364"/>
    <w:p>
      <w:pPr>
        <w:numPr>
          <w:ilvl w:val="0"/>
          <w:numId w:val="55"/>
        </w:numPr>
        <w:spacing w:line="360" w:after="210" w:lineRule="auto"/>
      </w:pPr>
      <w:hyperlink r:id="rId22">
        <w:r>
          <w:rPr>
            <w:rFonts w:eastAsia="inter" w:cs="inter" w:ascii="inter" w:hAnsi="inter"/>
            <w:color w:val="#000"/>
            <w:sz w:val="18"/>
            <w:u w:val="single"/>
          </w:rPr>
          <w:t xml:space="preserve">https://en.wikipedia.org/wiki/Project_2025</w:t>
        </w:r>
      </w:hyperlink>
      <w:r>
        <w:rPr>
          <w:rFonts w:eastAsia="inter" w:cs="inter" w:ascii="inter" w:hAnsi="inter"/>
          <w:color w:val="000000"/>
          <w:sz w:val="18"/>
        </w:rPr>
        <w:t xml:space="preserve"> </w:t>
      </w:r>
    </w:p>
    <w:bookmarkStart w:id="365" w:name="fn17"/>
    <w:bookmarkEnd w:id="365"/>
    <w:p>
      <w:pPr>
        <w:numPr>
          <w:ilvl w:val="0"/>
          <w:numId w:val="55"/>
        </w:numPr>
        <w:spacing w:line="360" w:after="210" w:lineRule="auto"/>
      </w:pPr>
      <w:hyperlink r:id="rId23">
        <w:r>
          <w:rPr>
            <w:rFonts w:eastAsia="inter" w:cs="inter" w:ascii="inter" w:hAnsi="inter"/>
            <w:color w:val="#000"/>
            <w:sz w:val="18"/>
            <w:u w:val="single"/>
          </w:rPr>
          <w:t xml:space="preserve">https://www.youtube.com/watch?v=ykxBEk7Rnfc</w:t>
        </w:r>
      </w:hyperlink>
      <w:r>
        <w:rPr>
          <w:rFonts w:eastAsia="inter" w:cs="inter" w:ascii="inter" w:hAnsi="inter"/>
          <w:color w:val="000000"/>
          <w:sz w:val="18"/>
        </w:rPr>
        <w:t xml:space="preserve"> </w:t>
      </w:r>
    </w:p>
    <w:bookmarkStart w:id="366" w:name="fn18"/>
    <w:bookmarkEnd w:id="366"/>
    <w:p>
      <w:pPr>
        <w:numPr>
          <w:ilvl w:val="0"/>
          <w:numId w:val="55"/>
        </w:numPr>
        <w:spacing w:line="360" w:after="210" w:lineRule="auto"/>
      </w:pPr>
      <w:hyperlink r:id="rId24">
        <w:r>
          <w:rPr>
            <w:rFonts w:eastAsia="inter" w:cs="inter" w:ascii="inter" w:hAnsi="inter"/>
            <w:color w:val="#000"/>
            <w:sz w:val="18"/>
            <w:u w:val="single"/>
          </w:rPr>
          <w:t xml:space="preserve">https://magazine.krieger.jhu.edu/2018/11/the-science-of-speculation/</w:t>
        </w:r>
      </w:hyperlink>
      <w:r>
        <w:rPr>
          <w:rFonts w:eastAsia="inter" w:cs="inter" w:ascii="inter" w:hAnsi="inter"/>
          <w:color w:val="000000"/>
          <w:sz w:val="18"/>
        </w:rPr>
        <w:t xml:space="preserve"> </w:t>
      </w:r>
    </w:p>
    <w:bookmarkStart w:id="367" w:name="fn19"/>
    <w:bookmarkEnd w:id="367"/>
    <w:p>
      <w:pPr>
        <w:numPr>
          <w:ilvl w:val="0"/>
          <w:numId w:val="55"/>
        </w:numPr>
        <w:spacing w:line="360" w:after="210" w:lineRule="auto"/>
      </w:pPr>
      <w:hyperlink r:id="rId25">
        <w:r>
          <w:rPr>
            <w:rFonts w:eastAsia="inter" w:cs="inter" w:ascii="inter" w:hAnsi="inter"/>
            <w:color w:val="#000"/>
            <w:sz w:val="18"/>
            <w:u w:val="single"/>
          </w:rPr>
          <w:t xml:space="preserve">https://abcnews.go.com/Politics/project-2025-conservative-presidential-list/story?id=111952315</w:t>
        </w:r>
      </w:hyperlink>
      <w:r>
        <w:rPr>
          <w:rFonts w:eastAsia="inter" w:cs="inter" w:ascii="inter" w:hAnsi="inter"/>
          <w:color w:val="000000"/>
          <w:sz w:val="18"/>
        </w:rPr>
        <w:t xml:space="preserve"> </w:t>
      </w:r>
    </w:p>
    <w:bookmarkStart w:id="368" w:name="fn20"/>
    <w:bookmarkEnd w:id="368"/>
    <w:p>
      <w:pPr>
        <w:numPr>
          <w:ilvl w:val="0"/>
          <w:numId w:val="55"/>
        </w:numPr>
        <w:spacing w:line="360" w:after="210" w:lineRule="auto"/>
      </w:pPr>
      <w:hyperlink r:id="rId26">
        <w:r>
          <w:rPr>
            <w:rFonts w:eastAsia="inter" w:cs="inter" w:ascii="inter" w:hAnsi="inter"/>
            <w:color w:val="#000"/>
            <w:sz w:val="18"/>
            <w:u w:val="single"/>
          </w:rPr>
          <w:t xml:space="preserve">https://www.youtube.com/watch?v=4MrfCYJYEH8</w:t>
        </w:r>
      </w:hyperlink>
      <w:r>
        <w:rPr>
          <w:rFonts w:eastAsia="inter" w:cs="inter" w:ascii="inter" w:hAnsi="inter"/>
          <w:color w:val="000000"/>
          <w:sz w:val="18"/>
        </w:rPr>
        <w:t xml:space="preserve"> </w:t>
      </w:r>
    </w:p>
    <w:bookmarkStart w:id="369" w:name="fn21"/>
    <w:bookmarkEnd w:id="369"/>
    <w:p>
      <w:pPr>
        <w:numPr>
          <w:ilvl w:val="0"/>
          <w:numId w:val="55"/>
        </w:numPr>
        <w:spacing w:line="360" w:after="210" w:lineRule="auto"/>
      </w:pPr>
      <w:hyperlink r:id="rId27">
        <w:r>
          <w:rPr>
            <w:rFonts w:eastAsia="inter" w:cs="inter" w:ascii="inter" w:hAnsi="inter"/>
            <w:color w:val="#000"/>
            <w:sz w:val="18"/>
            <w:u w:val="single"/>
          </w:rPr>
          <w:t xml:space="preserve">https://pmc.ncbi.nlm.nih.gov/articles/PMC9007716/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0" w:name="fn22"/>
    <w:bookmarkEnd w:id="370"/>
    <w:p>
      <w:pPr>
        <w:numPr>
          <w:ilvl w:val="0"/>
          <w:numId w:val="55"/>
        </w:numPr>
        <w:spacing w:line="360" w:after="210" w:lineRule="auto"/>
      </w:pPr>
      <w:hyperlink r:id="rId28">
        <w:r>
          <w:rPr>
            <w:rFonts w:eastAsia="inter" w:cs="inter" w:ascii="inter" w:hAnsi="inter"/>
            <w:color w:val="#000"/>
            <w:sz w:val="18"/>
            <w:u w:val="single"/>
          </w:rPr>
          <w:t xml:space="preserve">https://www.biohubx.com/services/rapid-validation-lab</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1" w:name="fn23"/>
    <w:bookmarkEnd w:id="371"/>
    <w:p>
      <w:pPr>
        <w:numPr>
          <w:ilvl w:val="0"/>
          <w:numId w:val="55"/>
        </w:numPr>
        <w:spacing w:line="360" w:after="210" w:lineRule="auto"/>
      </w:pPr>
      <w:hyperlink r:id="rId29">
        <w:r>
          <w:rPr>
            <w:rFonts w:eastAsia="inter" w:cs="inter" w:ascii="inter" w:hAnsi="inter"/>
            <w:color w:val="#000"/>
            <w:sz w:val="18"/>
            <w:u w:val="single"/>
          </w:rPr>
          <w:t xml:space="preserve">https://drug-dev.com/special-feature-outsourcing-analytical-testing-ai-could-transform-analytical-labs/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2" w:name="fn24"/>
    <w:bookmarkEnd w:id="372"/>
    <w:p>
      <w:pPr>
        <w:numPr>
          <w:ilvl w:val="0"/>
          <w:numId w:val="55"/>
        </w:numPr>
        <w:spacing w:line="360" w:after="210" w:lineRule="auto"/>
      </w:pPr>
      <w:hyperlink r:id="rId30">
        <w:r>
          <w:rPr>
            <w:rFonts w:eastAsia="inter" w:cs="inter" w:ascii="inter" w:hAnsi="inter"/>
            <w:color w:val="#000"/>
            <w:sz w:val="18"/>
            <w:u w:val="single"/>
          </w:rPr>
          <w:t xml:space="preserve">https://labtesting.wuxiapptec.com/2023/09/20/bioanalytical-method-development-validation-partner-qualities/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73" w:name="fn25"/>
    <w:bookmarkEnd w:id="373"/>
    <w:p>
      <w:pPr>
        <w:numPr>
          <w:ilvl w:val="0"/>
          <w:numId w:val="55"/>
        </w:numPr>
        <w:spacing w:line="360" w:after="210" w:lineRule="auto"/>
      </w:pPr>
      <w:hyperlink r:id="rId31">
        <w:r>
          <w:rPr>
            <w:rFonts w:eastAsia="inter" w:cs="inter" w:ascii="inter" w:hAnsi="inter"/>
            <w:color w:val="#000"/>
            <w:sz w:val="18"/>
            <w:u w:val="single"/>
          </w:rPr>
          <w:t xml:space="preserve">https://siphoxhealth.com/articles/how-do-white-label-blood-test-partnerships-work</w:t>
        </w:r>
      </w:hyperlink>
      <w:r>
        <w:rPr>
          <w:rFonts w:eastAsia="inter" w:cs="inter" w:ascii="inter" w:hAnsi="inter"/>
          <w:color w:val="000000"/>
          <w:sz w:val="18"/>
        </w:rPr>
        <w:t xml:space="preserve"> </w:t>
      </w:r>
    </w:p>
    <w:bookmarkStart w:id="374" w:name="fn26"/>
    <w:bookmarkEnd w:id="374"/>
    <w:p>
      <w:pPr>
        <w:numPr>
          <w:ilvl w:val="0"/>
          <w:numId w:val="55"/>
        </w:numPr>
        <w:spacing w:line="360" w:after="210" w:lineRule="auto"/>
      </w:pPr>
      <w:hyperlink r:id="rId32">
        <w:r>
          <w:rPr>
            <w:rFonts w:eastAsia="inter" w:cs="inter" w:ascii="inter" w:hAnsi="inter"/>
            <w:color w:val="#000"/>
            <w:sz w:val="18"/>
            <w:u w:val="single"/>
          </w:rPr>
          <w:t xml:space="preserve">https://www.nih.gov/research-training/medical-research-initiatives/radx/radx-programs</w:t>
        </w:r>
      </w:hyperlink>
      <w:r>
        <w:rPr>
          <w:rFonts w:eastAsia="inter" w:cs="inter" w:ascii="inter" w:hAnsi="inter"/>
          <w:color w:val="000000"/>
          <w:sz w:val="18"/>
        </w:rPr>
        <w:t xml:space="preserve"> </w:t>
      </w:r>
    </w:p>
    <w:bookmarkStart w:id="375" w:name="fn27"/>
    <w:bookmarkEnd w:id="375"/>
    <w:p>
      <w:pPr>
        <w:numPr>
          <w:ilvl w:val="0"/>
          <w:numId w:val="55"/>
        </w:numPr>
        <w:spacing w:line="360" w:after="210" w:lineRule="auto"/>
      </w:pPr>
      <w:hyperlink r:id="rId33">
        <w:r>
          <w:rPr>
            <w:rFonts w:eastAsia="inter" w:cs="inter" w:ascii="inter" w:hAnsi="inter"/>
            <w:color w:val="#000"/>
            <w:sz w:val="18"/>
            <w:u w:val="single"/>
          </w:rPr>
          <w:t xml:space="preserve">https://www.labmanager.com/introduction-to-pharmaceutical-equipment-validation-34136</w:t>
        </w:r>
      </w:hyperlink>
      <w:r>
        <w:rPr>
          <w:rFonts w:eastAsia="inter" w:cs="inter" w:ascii="inter" w:hAnsi="inter"/>
          <w:color w:val="000000"/>
          <w:sz w:val="18"/>
        </w:rPr>
        <w:t xml:space="preserve"> </w:t>
      </w:r>
    </w:p>
    <w:bookmarkStart w:id="376" w:name="fn28"/>
    <w:bookmarkEnd w:id="376"/>
    <w:p>
      <w:pPr>
        <w:numPr>
          <w:ilvl w:val="0"/>
          <w:numId w:val="55"/>
        </w:numPr>
        <w:spacing w:line="360" w:after="210" w:lineRule="auto"/>
      </w:pPr>
      <w:hyperlink r:id="rId34">
        <w:r>
          <w:rPr>
            <w:rFonts w:eastAsia="inter" w:cs="inter" w:ascii="inter" w:hAnsi="inter"/>
            <w:color w:val="#000"/>
            <w:sz w:val="18"/>
            <w:u w:val="single"/>
          </w:rPr>
          <w:t xml:space="preserve">https://testlabsuk.com/blog/what-to-consider-when-choosing-your-testing-partner/</w:t>
        </w:r>
      </w:hyperlink>
      <w:r>
        <w:rPr>
          <w:rFonts w:eastAsia="inter" w:cs="inter" w:ascii="inter" w:hAnsi="inter"/>
          <w:color w:val="000000"/>
          <w:sz w:val="18"/>
        </w:rPr>
        <w:t xml:space="preserve"> </w:t>
      </w:r>
    </w:p>
    <w:bookmarkStart w:id="377" w:name="fn29"/>
    <w:bookmarkEnd w:id="377"/>
    <w:p>
      <w:pPr>
        <w:numPr>
          <w:ilvl w:val="0"/>
          <w:numId w:val="55"/>
        </w:numPr>
        <w:spacing w:line="360" w:after="210" w:lineRule="auto"/>
      </w:pPr>
      <w:hyperlink r:id="rId35">
        <w:r>
          <w:rPr>
            <w:rFonts w:eastAsia="inter" w:cs="inter" w:ascii="inter" w:hAnsi="inter"/>
            <w:color w:val="#000"/>
            <w:sz w:val="18"/>
            <w:u w:val="single"/>
          </w:rPr>
          <w:t xml:space="preserve">https://corescientific.com/about/mission-vision/</w:t>
        </w:r>
      </w:hyperlink>
      <w:r>
        <w:rPr>
          <w:rFonts w:eastAsia="inter" w:cs="inter" w:ascii="inter" w:hAnsi="inter"/>
          <w:color w:val="000000"/>
          <w:sz w:val="18"/>
        </w:rPr>
        <w:t xml:space="preserve"> </w:t>
      </w:r>
    </w:p>
    <w:bookmarkStart w:id="378" w:name="fn30"/>
    <w:bookmarkEnd w:id="378"/>
    <w:p>
      <w:pPr>
        <w:numPr>
          <w:ilvl w:val="0"/>
          <w:numId w:val="55"/>
        </w:numPr>
        <w:spacing w:line="360" w:after="210" w:lineRule="auto"/>
      </w:pPr>
      <w:hyperlink r:id="rId36">
        <w:r>
          <w:rPr>
            <w:rFonts w:eastAsia="inter" w:cs="inter" w:ascii="inter" w:hAnsi="inter"/>
            <w:color w:val="#000"/>
            <w:sz w:val="18"/>
            <w:u w:val="single"/>
          </w:rPr>
          <w:t xml:space="preserve">https://council.science/publications/high-level-strategy/vision-mission-and-core-values/</w:t>
        </w:r>
      </w:hyperlink>
      <w:r>
        <w:rPr>
          <w:rFonts w:eastAsia="inter" w:cs="inter" w:ascii="inter" w:hAnsi="inter"/>
          <w:color w:val="000000"/>
          <w:sz w:val="18"/>
        </w:rPr>
        <w:t xml:space="preserve"> </w:t>
      </w:r>
    </w:p>
    <w:bookmarkStart w:id="379" w:name="fn31"/>
    <w:bookmarkEnd w:id="379"/>
    <w:p>
      <w:pPr>
        <w:numPr>
          <w:ilvl w:val="0"/>
          <w:numId w:val="55"/>
        </w:numPr>
        <w:spacing w:line="360" w:after="210" w:lineRule="auto"/>
      </w:pPr>
      <w:hyperlink r:id="rId37">
        <w:r>
          <w:rPr>
            <w:rFonts w:eastAsia="inter" w:cs="inter" w:ascii="inter" w:hAnsi="inter"/>
            <w:color w:val="#000"/>
            <w:sz w:val="18"/>
            <w:u w:val="single"/>
          </w:rPr>
          <w:t xml:space="preserve">https://lpsonline.sas.upenn.edu/features/understanding-goals-science</w:t>
        </w:r>
      </w:hyperlink>
      <w:r>
        <w:rPr>
          <w:rFonts w:eastAsia="inter" w:cs="inter" w:ascii="inter" w:hAnsi="inter"/>
          <w:color w:val="000000"/>
          <w:sz w:val="18"/>
        </w:rPr>
        <w:t xml:space="preserve"> </w:t>
      </w:r>
    </w:p>
    <w:bookmarkStart w:id="380" w:name="fn32"/>
    <w:bookmarkEnd w:id="380"/>
    <w:p>
      <w:pPr>
        <w:numPr>
          <w:ilvl w:val="0"/>
          <w:numId w:val="55"/>
        </w:numPr>
        <w:spacing w:line="360" w:after="210" w:lineRule="auto"/>
      </w:pPr>
      <w:hyperlink r:id="rId38">
        <w:r>
          <w:rPr>
            <w:rFonts w:eastAsia="inter" w:cs="inter" w:ascii="inter" w:hAnsi="inter"/>
            <w:color w:val="#000"/>
            <w:sz w:val="18"/>
            <w:u w:val="single"/>
          </w:rPr>
          <w:t xml:space="preserve">https://dcfmodeling.com/blogs/vision/corzz-mission-vision</w:t>
        </w:r>
      </w:hyperlink>
      <w:r>
        <w:rPr>
          <w:rFonts w:eastAsia="inter" w:cs="inter" w:ascii="inter" w:hAnsi="inter"/>
          <w:color w:val="000000"/>
          <w:sz w:val="18"/>
        </w:rPr>
        <w:t xml:space="preserve"> </w:t>
      </w:r>
    </w:p>
    <w:bookmarkStart w:id="381" w:name="fn33"/>
    <w:bookmarkEnd w:id="381"/>
    <w:p>
      <w:pPr>
        <w:numPr>
          <w:ilvl w:val="0"/>
          <w:numId w:val="55"/>
        </w:numPr>
        <w:spacing w:line="360" w:after="210" w:lineRule="auto"/>
      </w:pPr>
      <w:hyperlink r:id="rId39">
        <w:r>
          <w:rPr>
            <w:rFonts w:eastAsia="inter" w:cs="inter" w:ascii="inter" w:hAnsi="inter"/>
            <w:color w:val="#000"/>
            <w:sz w:val="18"/>
            <w:u w:val="single"/>
          </w:rPr>
          <w:t xml:space="preserve">https://science.nasa.gov/about-us/science-strategy/</w:t>
        </w:r>
      </w:hyperlink>
      <w:r>
        <w:rPr>
          <w:rFonts w:eastAsia="inter" w:cs="inter" w:ascii="inter" w:hAnsi="inter"/>
          <w:color w:val="000000"/>
          <w:sz w:val="18"/>
        </w:rPr>
        <w:t xml:space="preserve"> </w:t>
      </w:r>
    </w:p>
    <w:bookmarkStart w:id="382" w:name="fn34"/>
    <w:bookmarkEnd w:id="382"/>
    <w:p>
      <w:pPr>
        <w:numPr>
          <w:ilvl w:val="0"/>
          <w:numId w:val="55"/>
        </w:numPr>
        <w:spacing w:line="360" w:after="210" w:lineRule="auto"/>
      </w:pPr>
      <w:hyperlink r:id="rId40">
        <w:r>
          <w:rPr>
            <w:rFonts w:eastAsia="inter" w:cs="inter" w:ascii="inter" w:hAnsi="inter"/>
            <w:color w:val="#000"/>
            <w:sz w:val="18"/>
            <w:u w:val="single"/>
          </w:rPr>
          <w:t xml:space="preserve">https://hr.nih.gov/workforce/performance-management/determining-strategic-goals-or-objectives-each-critical-element</w:t>
        </w:r>
      </w:hyperlink>
      <w:r>
        <w:rPr>
          <w:rFonts w:eastAsia="inter" w:cs="inter" w:ascii="inter" w:hAnsi="inter"/>
          <w:color w:val="000000"/>
          <w:sz w:val="18"/>
        </w:rPr>
        <w:t xml:space="preserve"> </w:t>
      </w:r>
    </w:p>
    <w:bookmarkStart w:id="383" w:name="fn35"/>
    <w:bookmarkEnd w:id="383"/>
    <w:p>
      <w:pPr>
        <w:numPr>
          <w:ilvl w:val="0"/>
          <w:numId w:val="55"/>
        </w:numPr>
        <w:spacing w:line="360" w:after="210" w:lineRule="auto"/>
      </w:pPr>
      <w:hyperlink r:id="rId41">
        <w:r>
          <w:rPr>
            <w:rFonts w:eastAsia="inter" w:cs="inter" w:ascii="inter" w:hAnsi="inter"/>
            <w:color w:val="#000"/>
            <w:sz w:val="18"/>
            <w:u w:val="single"/>
          </w:rPr>
          <w:t xml:space="preserve">https://www.cgdev.org/blog/how-who-can-deliver-its-core-mission-science-knowledge-and-evidence</w:t>
        </w:r>
      </w:hyperlink>
      <w:r>
        <w:rPr>
          <w:rFonts w:eastAsia="inter" w:cs="inter" w:ascii="inter" w:hAnsi="inter"/>
          <w:color w:val="000000"/>
          <w:sz w:val="18"/>
        </w:rPr>
        <w:t xml:space="preserve"> </w:t>
      </w:r>
    </w:p>
    <w:bookmarkStart w:id="384" w:name="fn36"/>
    <w:bookmarkEnd w:id="384"/>
    <w:p>
      <w:pPr>
        <w:numPr>
          <w:ilvl w:val="0"/>
          <w:numId w:val="55"/>
        </w:numPr>
        <w:spacing w:line="360" w:after="210" w:lineRule="auto"/>
      </w:pPr>
      <w:hyperlink r:id="rId42">
        <w:r>
          <w:rPr>
            <w:rFonts w:eastAsia="inter" w:cs="inter" w:ascii="inter" w:hAnsi="inter"/>
            <w:color w:val="#000"/>
            <w:sz w:val="18"/>
            <w:u w:val="single"/>
          </w:rPr>
          <w:t xml:space="preserve">https://insight7.io/how-to-develop-a-research-hypothesis-effectively/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85" w:name="fn37"/>
    <w:bookmarkEnd w:id="385"/>
    <w:p>
      <w:pPr>
        <w:numPr>
          <w:ilvl w:val="0"/>
          <w:numId w:val="55"/>
        </w:numPr>
        <w:spacing w:line="360" w:after="210" w:lineRule="auto"/>
      </w:pPr>
      <w:hyperlink r:id="rId43">
        <w:r>
          <w:rPr>
            <w:rFonts w:eastAsia="inter" w:cs="inter" w:ascii="inter" w:hAnsi="inter"/>
            <w:color w:val="#000"/>
            <w:sz w:val="18"/>
            <w:u w:val="single"/>
          </w:rPr>
          <w:t xml:space="preserve">https://www.njit.edu/precollege/sites/njit.edu.precollege/files/lcms/docs/RET_2012_-_Translating_a_research_question_into_a_testable_hypothesis.pdf</w:t>
        </w:r>
      </w:hyperlink>
      <w:r>
        <w:rPr>
          <w:rFonts w:eastAsia="inter" w:cs="inter" w:ascii="inter" w:hAnsi="inter"/>
          <w:color w:val="000000"/>
          <w:sz w:val="18"/>
        </w:rPr>
        <w:t xml:space="preserve"> </w:t>
      </w:r>
    </w:p>
    <w:bookmarkStart w:id="386" w:name="fn38"/>
    <w:bookmarkEnd w:id="386"/>
    <w:p>
      <w:pPr>
        <w:numPr>
          <w:ilvl w:val="0"/>
          <w:numId w:val="55"/>
        </w:numPr>
        <w:spacing w:line="360" w:after="210" w:lineRule="auto"/>
      </w:pPr>
      <w:hyperlink r:id="rId44">
        <w:r>
          <w:rPr>
            <w:rFonts w:eastAsia="inter" w:cs="inter" w:ascii="inter" w:hAnsi="inter"/>
            <w:color w:val="#000"/>
            <w:sz w:val="18"/>
            <w:u w:val="single"/>
          </w:rPr>
          <w:t xml:space="preserve">https://fastercapital.com/topics/formulating-a-clear-and-testable-hypothesis.html/1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87" w:name="fn39"/>
    <w:bookmarkEnd w:id="387"/>
    <w:p>
      <w:pPr>
        <w:numPr>
          <w:ilvl w:val="0"/>
          <w:numId w:val="55"/>
        </w:numPr>
        <w:spacing w:line="360" w:after="210" w:lineRule="auto"/>
      </w:pPr>
      <w:hyperlink r:id="rId45">
        <w:r>
          <w:rPr>
            <w:rFonts w:eastAsia="inter" w:cs="inter" w:ascii="inter" w:hAnsi="inter"/>
            <w:color w:val="#000"/>
            <w:sz w:val="18"/>
            <w:u w:val="single"/>
          </w:rPr>
          <w:t xml:space="preserve">https://www.statsig.com/perspectives/experimental-hypothesis-testable-ideas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88" w:name="fn40"/>
    <w:bookmarkEnd w:id="388"/>
    <w:p>
      <w:pPr>
        <w:numPr>
          <w:ilvl w:val="0"/>
          <w:numId w:val="55"/>
        </w:numPr>
        <w:spacing w:line="360" w:after="210" w:lineRule="auto"/>
      </w:pPr>
      <w:hyperlink r:id="rId46">
        <w:r>
          <w:rPr>
            <w:rFonts w:eastAsia="inter" w:cs="inter" w:ascii="inter" w:hAnsi="inter"/>
            <w:color w:val="#000"/>
            <w:sz w:val="18"/>
            <w:u w:val="single"/>
          </w:rPr>
          <w:t xml:space="preserve">https://pmc.ncbi.nlm.nih.gov/articles/PMC3723489/</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89" w:name="fn41"/>
    <w:bookmarkEnd w:id="389"/>
    <w:p>
      <w:pPr>
        <w:numPr>
          <w:ilvl w:val="0"/>
          <w:numId w:val="55"/>
        </w:numPr>
        <w:spacing w:line="360" w:after="210" w:lineRule="auto"/>
      </w:pPr>
      <w:hyperlink r:id="rId47">
        <w:r>
          <w:rPr>
            <w:rFonts w:eastAsia="inter" w:cs="inter" w:ascii="inter" w:hAnsi="inter"/>
            <w:color w:val="#000"/>
            <w:sz w:val="18"/>
            <w:u w:val="single"/>
          </w:rPr>
          <w:t xml:space="preserve">https://www.strategyzer.com/library/mastering-business-testing-formulating-strong-hypotheses</w:t>
        </w:r>
      </w:hyperlink>
      <w:r>
        <w:rPr>
          <w:rFonts w:eastAsia="inter" w:cs="inter" w:ascii="inter" w:hAnsi="inter"/>
          <w:color w:val="000000"/>
          <w:sz w:val="18"/>
        </w:rPr>
        <w:t xml:space="preserve"> </w:t>
      </w:r>
    </w:p>
    <w:bookmarkStart w:id="390" w:name="fn42"/>
    <w:bookmarkEnd w:id="390"/>
    <w:p>
      <w:pPr>
        <w:numPr>
          <w:ilvl w:val="0"/>
          <w:numId w:val="55"/>
        </w:numPr>
        <w:spacing w:line="360" w:after="210" w:lineRule="auto"/>
      </w:pPr>
      <w:hyperlink r:id="rId48">
        <w:r>
          <w:rPr>
            <w:rFonts w:eastAsia="inter" w:cs="inter" w:ascii="inter" w:hAnsi="inter"/>
            <w:color w:val="#000"/>
            <w:sz w:val="18"/>
            <w:u w:val="single"/>
          </w:rPr>
          <w:t xml:space="preserve">https://www.statsig.com/perspectives/hypothesis-analysis-testable-experiments</w:t>
        </w:r>
      </w:hyperlink>
      <w:r>
        <w:rPr>
          <w:rFonts w:eastAsia="inter" w:cs="inter" w:ascii="inter" w:hAnsi="inter"/>
          <w:color w:val="000000"/>
          <w:sz w:val="18"/>
        </w:rPr>
        <w:t xml:space="preserve"> </w:t>
      </w:r>
    </w:p>
    <w:bookmarkStart w:id="391" w:name="fn43"/>
    <w:bookmarkEnd w:id="391"/>
    <w:p>
      <w:pPr>
        <w:numPr>
          <w:ilvl w:val="0"/>
          <w:numId w:val="55"/>
        </w:numPr>
        <w:spacing w:line="360" w:after="210" w:lineRule="auto"/>
      </w:pPr>
      <w:hyperlink r:id="rId49">
        <w:r>
          <w:rPr>
            <w:rFonts w:eastAsia="inter" w:cs="inter" w:ascii="inter" w:hAnsi="inter"/>
            <w:color w:val="#000"/>
            <w:sz w:val="18"/>
            <w:u w:val="single"/>
          </w:rPr>
          <w:t xml:space="preserve">https://pmc.ncbi.nlm.nih.gov/articles/PMC5846748/</w:t>
        </w:r>
      </w:hyperlink>
      <w:r>
        <w:rPr>
          <w:rFonts w:eastAsia="inter" w:cs="inter" w:ascii="inter" w:hAnsi="inter"/>
          <w:color w:val="000000"/>
          <w:sz w:val="18"/>
        </w:rPr>
        <w:t xml:space="preserve"> </w:t>
      </w:r>
    </w:p>
    <w:bookmarkStart w:id="392" w:name="fn44"/>
    <w:bookmarkEnd w:id="392"/>
    <w:p>
      <w:pPr>
        <w:numPr>
          <w:ilvl w:val="0"/>
          <w:numId w:val="55"/>
        </w:numPr>
        <w:spacing w:line="360" w:after="210" w:lineRule="auto"/>
      </w:pPr>
      <w:hyperlink r:id="rId50">
        <w:r>
          <w:rPr>
            <w:rFonts w:eastAsia="inter" w:cs="inter" w:ascii="inter" w:hAnsi="inter"/>
            <w:color w:val="#000"/>
            <w:sz w:val="18"/>
            <w:u w:val="single"/>
          </w:rPr>
          <w:t xml:space="preserve">https://www.csub.edu/~ddodenhoff/bio100/bio100sp04/formattingahypothesis.htm</w:t>
        </w:r>
      </w:hyperlink>
      <w:r>
        <w:rPr>
          <w:rFonts w:eastAsia="inter" w:cs="inter" w:ascii="inter" w:hAnsi="inter"/>
          <w:color w:val="000000"/>
          <w:sz w:val="18"/>
        </w:rPr>
        <w:t xml:space="preserve"> </w:t>
      </w:r>
    </w:p>
    <w:bookmarkStart w:id="393" w:name="fn45"/>
    <w:bookmarkEnd w:id="393"/>
    <w:p>
      <w:pPr>
        <w:numPr>
          <w:ilvl w:val="0"/>
          <w:numId w:val="55"/>
        </w:numPr>
        <w:spacing w:line="360" w:after="210" w:lineRule="auto"/>
      </w:pPr>
      <w:hyperlink r:id="rId51">
        <w:r>
          <w:rPr>
            <w:rFonts w:eastAsia="inter" w:cs="inter" w:ascii="inter" w:hAnsi="inter"/>
            <w:color w:val="#000"/>
            <w:sz w:val="18"/>
            <w:u w:val="single"/>
          </w:rPr>
          <w:t xml:space="preserve">https://www.towerhamlets.gov.uk/lgnl/education_and_learning/research_governance_framework.aspx</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94" w:name="fn46"/>
    <w:bookmarkEnd w:id="394"/>
    <w:p>
      <w:pPr>
        <w:numPr>
          <w:ilvl w:val="0"/>
          <w:numId w:val="55"/>
        </w:numPr>
        <w:spacing w:line="360" w:after="210" w:lineRule="auto"/>
      </w:pPr>
      <w:hyperlink r:id="rId52">
        <w:r>
          <w:rPr>
            <w:rFonts w:eastAsia="inter" w:cs="inter" w:ascii="inter" w:hAnsi="inter"/>
            <w:color w:val="#000"/>
            <w:sz w:val="18"/>
            <w:u w:val="single"/>
          </w:rPr>
          <w:t xml:space="preserve">https://pmc.ncbi.nlm.nih.gov/articles/PMC8722776/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95" w:name="fn47"/>
    <w:bookmarkEnd w:id="395"/>
    <w:p>
      <w:pPr>
        <w:numPr>
          <w:ilvl w:val="0"/>
          <w:numId w:val="55"/>
        </w:numPr>
        <w:spacing w:line="360" w:after="210" w:lineRule="auto"/>
      </w:pPr>
      <w:hyperlink r:id="rId53">
        <w:r>
          <w:rPr>
            <w:rFonts w:eastAsia="inter" w:cs="inter" w:ascii="inter" w:hAnsi="inter"/>
            <w:color w:val="#000"/>
            <w:sz w:val="18"/>
            <w:u w:val="single"/>
          </w:rPr>
          <w:t xml:space="preserve">https://pmc.ncbi.nlm.nih.gov/articles/PMC1325075/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96" w:name="fn48"/>
    <w:bookmarkEnd w:id="396"/>
    <w:p>
      <w:pPr>
        <w:numPr>
          <w:ilvl w:val="0"/>
          <w:numId w:val="55"/>
        </w:numPr>
        <w:spacing w:line="360" w:after="210" w:lineRule="auto"/>
      </w:pPr>
      <w:hyperlink r:id="rId54">
        <w:r>
          <w:rPr>
            <w:rFonts w:eastAsia="inter" w:cs="inter" w:ascii="inter" w:hAnsi="inter"/>
            <w:color w:val="#000"/>
            <w:sz w:val="18"/>
            <w:u w:val="single"/>
          </w:rPr>
          <w:t xml:space="preserve">https://www.infonetica.net/articles/what-is-research-governance-and-compliance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97" w:name="fn49"/>
    <w:bookmarkEnd w:id="397"/>
    <w:p>
      <w:pPr>
        <w:numPr>
          <w:ilvl w:val="0"/>
          <w:numId w:val="55"/>
        </w:numPr>
        <w:spacing w:line="360" w:after="210" w:lineRule="auto"/>
      </w:pPr>
      <w:hyperlink r:id="rId55">
        <w:r>
          <w:rPr>
            <w:rFonts w:eastAsia="inter" w:cs="inter" w:ascii="inter" w:hAnsi="inter"/>
            <w:color w:val="#000"/>
            <w:sz w:val="18"/>
            <w:u w:val="single"/>
          </w:rPr>
          <w:t xml:space="preserve">https://aoir.org/riskyresearchguide/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98" w:name="fn50"/>
    <w:bookmarkEnd w:id="398"/>
    <w:p>
      <w:pPr>
        <w:numPr>
          <w:ilvl w:val="0"/>
          <w:numId w:val="55"/>
        </w:numPr>
        <w:spacing w:line="360" w:after="210" w:lineRule="auto"/>
      </w:pPr>
      <w:hyperlink r:id="rId56">
        <w:r>
          <w:rPr>
            <w:rFonts w:eastAsia="inter" w:cs="inter" w:ascii="inter" w:hAnsi="inter"/>
            <w:color w:val="#000"/>
            <w:sz w:val="18"/>
            <w:u w:val="single"/>
          </w:rPr>
          <w:t xml:space="preserve">https://transportation.libguides.com/researchdatamanagement/dataethics</w:t>
        </w:r>
      </w:hyperlink>
      <w:r>
        <w:rPr>
          <w:rFonts w:eastAsia="inter" w:cs="inter" w:ascii="inter" w:hAnsi="inter"/>
          <w:color w:val="000000"/>
          <w:sz w:val="18"/>
        </w:rPr>
        <w:t xml:space="preserve"> </w:t>
      </w:r>
    </w:p>
    <w:bookmarkStart w:id="399" w:name="fn51"/>
    <w:bookmarkEnd w:id="399"/>
    <w:p>
      <w:pPr>
        <w:numPr>
          <w:ilvl w:val="0"/>
          <w:numId w:val="55"/>
        </w:numPr>
        <w:spacing w:line="360" w:after="210" w:lineRule="auto"/>
      </w:pPr>
      <w:hyperlink r:id="rId57">
        <w:r>
          <w:rPr>
            <w:rFonts w:eastAsia="inter" w:cs="inter" w:ascii="inter" w:hAnsi="inter"/>
            <w:color w:val="#000"/>
            <w:sz w:val="18"/>
            <w:u w:val="single"/>
          </w:rPr>
          <w:t xml:space="preserve">https://www.researchprotocols.org/2025/1/e75702</w:t>
        </w:r>
      </w:hyperlink>
      <w:r>
        <w:rPr>
          <w:rFonts w:eastAsia="inter" w:cs="inter" w:ascii="inter" w:hAnsi="inter"/>
          <w:color w:val="000000"/>
          <w:sz w:val="18"/>
        </w:rPr>
        <w:t xml:space="preserve"> </w:t>
      </w:r>
    </w:p>
    <w:bookmarkStart w:id="400" w:name="fn52"/>
    <w:bookmarkEnd w:id="400"/>
    <w:p>
      <w:pPr>
        <w:numPr>
          <w:ilvl w:val="0"/>
          <w:numId w:val="55"/>
        </w:numPr>
        <w:spacing w:line="360" w:after="210" w:lineRule="auto"/>
      </w:pPr>
      <w:hyperlink r:id="rId58">
        <w:r>
          <w:rPr>
            <w:rFonts w:eastAsia="inter" w:cs="inter" w:ascii="inter" w:hAnsi="inter"/>
            <w:color w:val="#000"/>
            <w:sz w:val="18"/>
            <w:u w:val="single"/>
          </w:rPr>
          <w:t xml:space="preserve">https://www.ukri.org/councils/esrc/guidance-for-applicants/research-ethics-guidance/</w:t>
        </w:r>
      </w:hyperlink>
      <w:r>
        <w:rPr>
          <w:rFonts w:eastAsia="inter" w:cs="inter" w:ascii="inter" w:hAnsi="inter"/>
          <w:color w:val="000000"/>
          <w:sz w:val="18"/>
        </w:rPr>
        <w:t xml:space="preserve"> </w:t>
      </w:r>
    </w:p>
    <w:bookmarkStart w:id="401" w:name="fn53"/>
    <w:bookmarkEnd w:id="401"/>
    <w:p>
      <w:pPr>
        <w:numPr>
          <w:ilvl w:val="0"/>
          <w:numId w:val="55"/>
        </w:numPr>
        <w:spacing w:line="360" w:after="210" w:lineRule="auto"/>
      </w:pPr>
      <w:hyperlink r:id="rId59">
        <w:r>
          <w:rPr>
            <w:rFonts w:eastAsia="inter" w:cs="inter" w:ascii="inter" w:hAnsi="inter"/>
            <w:color w:val="#000"/>
            <w:sz w:val="18"/>
            <w:u w:val="single"/>
          </w:rPr>
          <w:t xml:space="preserve">https://www.youtube.com/watch?v=R2-DzqVhjas</w:t>
        </w:r>
      </w:hyperlink>
      <w:r>
        <w:rPr>
          <w:rFonts w:eastAsia="inter" w:cs="inter" w:ascii="inter" w:hAnsi="inter"/>
          <w:color w:val="000000"/>
          <w:sz w:val="18"/>
        </w:rPr>
        <w:t xml:space="preserve"> </w:t>
      </w:r>
    </w:p>
    <w:bookmarkStart w:id="402" w:name="fn54"/>
    <w:bookmarkEnd w:id="402"/>
    <w:p>
      <w:pPr>
        <w:numPr>
          <w:ilvl w:val="0"/>
          <w:numId w:val="55"/>
        </w:numPr>
        <w:spacing w:line="360" w:after="210" w:lineRule="auto"/>
      </w:pPr>
      <w:hyperlink r:id="rId60">
        <w:r>
          <w:rPr>
            <w:rFonts w:eastAsia="inter" w:cs="inter" w:ascii="inter" w:hAnsi="inter"/>
            <w:color w:val="#000"/>
            <w:sz w:val="18"/>
            <w:u w:val="single"/>
          </w:rPr>
          <w:t xml:space="preserve">https://ethics.gc.ca/eng/tcps2-eptc2_2018_chapter2-chapitre2.html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03" w:name="fn55"/>
    <w:bookmarkEnd w:id="403"/>
    <w:p>
      <w:pPr>
        <w:numPr>
          <w:ilvl w:val="0"/>
          <w:numId w:val="55"/>
        </w:numPr>
        <w:spacing w:line="360" w:after="210" w:lineRule="auto"/>
      </w:pPr>
      <w:hyperlink r:id="rId61">
        <w:r>
          <w:rPr>
            <w:rFonts w:eastAsia="inter" w:cs="inter" w:ascii="inter" w:hAnsi="inter"/>
            <w:color w:val="#000"/>
            <w:sz w:val="18"/>
            <w:u w:val="single"/>
          </w:rPr>
          <w:t xml:space="preserve">https://pubmed.ncbi.nlm.nih.gov/17400625/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04" w:name="fn56"/>
    <w:bookmarkEnd w:id="404"/>
    <w:p>
      <w:pPr>
        <w:numPr>
          <w:ilvl w:val="0"/>
          <w:numId w:val="55"/>
        </w:numPr>
        <w:spacing w:line="360" w:after="210" w:lineRule="auto"/>
      </w:pPr>
      <w:hyperlink r:id="rId62">
        <w:r>
          <w:rPr>
            <w:rFonts w:eastAsia="inter" w:cs="inter" w:ascii="inter" w:hAnsi="inter"/>
            <w:color w:val="#000"/>
            <w:sz w:val="18"/>
            <w:u w:val="single"/>
          </w:rPr>
          <w:t xml:space="preserve">https://health.ec.europa.eu/system/files/2017-08/2017_04_25_risk_proportionate_approaches_in_ct_0.pdf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05" w:name="fn57"/>
    <w:bookmarkEnd w:id="405"/>
    <w:p>
      <w:pPr>
        <w:numPr>
          <w:ilvl w:val="0"/>
          <w:numId w:val="55"/>
        </w:numPr>
        <w:spacing w:line="360" w:after="210" w:lineRule="auto"/>
      </w:pPr>
      <w:hyperlink r:id="rId63">
        <w:r>
          <w:rPr>
            <w:rFonts w:eastAsia="inter" w:cs="inter" w:ascii="inter" w:hAnsi="inter"/>
            <w:color w:val="#000"/>
            <w:sz w:val="18"/>
            <w:u w:val="single"/>
          </w:rPr>
          <w:t xml:space="preserve">https://pmc.ncbi.nlm.nih.gov/articles/PMC10865752/</w:t>
        </w:r>
      </w:hyperlink>
      <w:r>
        <w:rPr>
          <w:rFonts w:eastAsia="inter" w:cs="inter" w:ascii="inter" w:hAnsi="inter"/>
          <w:color w:val="000000"/>
          <w:sz w:val="18"/>
        </w:rPr>
        <w:t xml:space="preserve"> </w:t>
      </w:r>
    </w:p>
    <w:bookmarkStart w:id="406" w:name="fn58"/>
    <w:bookmarkEnd w:id="406"/>
    <w:p>
      <w:pPr>
        <w:numPr>
          <w:ilvl w:val="0"/>
          <w:numId w:val="55"/>
        </w:numPr>
        <w:spacing w:line="360" w:after="210" w:lineRule="auto"/>
      </w:pPr>
      <w:hyperlink r:id="rId64">
        <w:r>
          <w:rPr>
            <w:rFonts w:eastAsia="inter" w:cs="inter" w:ascii="inter" w:hAnsi="inter"/>
            <w:color w:val="#000"/>
            <w:sz w:val="18"/>
            <w:u w:val="single"/>
          </w:rPr>
          <w:t xml:space="preserve">https://www.hra.nhs.uk/about-us/news-updates/importance-proportionate-risk-based-approach-ethics-approval-hra-view/</w:t>
        </w:r>
      </w:hyperlink>
      <w:r>
        <w:rPr>
          <w:rFonts w:eastAsia="inter" w:cs="inter" w:ascii="inter" w:hAnsi="inter"/>
          <w:color w:val="000000"/>
          <w:sz w:val="18"/>
        </w:rPr>
        <w:t xml:space="preserve"> </w:t>
      </w:r>
    </w:p>
    <w:bookmarkStart w:id="407" w:name="fn59"/>
    <w:bookmarkEnd w:id="407"/>
    <w:p>
      <w:pPr>
        <w:numPr>
          <w:ilvl w:val="0"/>
          <w:numId w:val="55"/>
        </w:numPr>
        <w:spacing w:line="360" w:after="210" w:lineRule="auto"/>
      </w:pPr>
      <w:hyperlink r:id="rId65">
        <w:r>
          <w:rPr>
            <w:rFonts w:eastAsia="inter" w:cs="inter" w:ascii="inter" w:hAnsi="inter"/>
            <w:color w:val="#000"/>
            <w:sz w:val="18"/>
            <w:u w:val="single"/>
          </w:rPr>
          <w:t xml:space="preserve">https://www.hra.nhs.uk/approvals-amendments/what-approvals-do-i-need/research-ethics-committee-review/applying-research-ethics-committee/proportionate-review-toolkit/</w:t>
        </w:r>
      </w:hyperlink>
      <w:r>
        <w:rPr>
          <w:rFonts w:eastAsia="inter" w:cs="inter" w:ascii="inter" w:hAnsi="inter"/>
          <w:color w:val="000000"/>
          <w:sz w:val="18"/>
        </w:rPr>
        <w:t xml:space="preserve"> </w:t>
      </w:r>
    </w:p>
    <w:bookmarkStart w:id="408" w:name="fn60"/>
    <w:bookmarkEnd w:id="408"/>
    <w:p>
      <w:pPr>
        <w:numPr>
          <w:ilvl w:val="0"/>
          <w:numId w:val="55"/>
        </w:numPr>
        <w:spacing w:line="360" w:after="210" w:lineRule="auto"/>
      </w:pPr>
      <w:hyperlink r:id="rId66">
        <w:r>
          <w:rPr>
            <w:rFonts w:eastAsia="inter" w:cs="inter" w:ascii="inter" w:hAnsi="inter"/>
            <w:color w:val="#000"/>
            <w:sz w:val="18"/>
            <w:u w:val="single"/>
          </w:rPr>
          <w:t xml:space="preserve">https://www.gov.uk/algorithmic-transparency-records/health-research-authority-proportionate-review-toolkit</w:t>
        </w:r>
      </w:hyperlink>
      <w:r>
        <w:rPr>
          <w:rFonts w:eastAsia="inter" w:cs="inter" w:ascii="inter" w:hAnsi="inter"/>
          <w:color w:val="000000"/>
          <w:sz w:val="18"/>
        </w:rPr>
        <w:t xml:space="preserve"> </w:t>
      </w:r>
    </w:p>
    <w:bookmarkStart w:id="409" w:name="fn61"/>
    <w:bookmarkEnd w:id="409"/>
    <w:p>
      <w:pPr>
        <w:numPr>
          <w:ilvl w:val="0"/>
          <w:numId w:val="55"/>
        </w:numPr>
        <w:spacing w:line="360" w:after="210" w:lineRule="auto"/>
      </w:pPr>
      <w:hyperlink r:id="rId67">
        <w:r>
          <w:rPr>
            <w:rFonts w:eastAsia="inter" w:cs="inter" w:ascii="inter" w:hAnsi="inter"/>
            <w:color w:val="#000"/>
            <w:sz w:val="18"/>
            <w:u w:val="single"/>
          </w:rPr>
          <w:t xml:space="preserve">https://www.ukri.org/councils/esrc/guidance-for-applicants/research-ethics-guidance/ethics-reviews/our-expectations-of-ethics-review/</w:t>
        </w:r>
      </w:hyperlink>
      <w:r>
        <w:rPr>
          <w:rFonts w:eastAsia="inter" w:cs="inter" w:ascii="inter" w:hAnsi="inter"/>
          <w:color w:val="000000"/>
          <w:sz w:val="18"/>
        </w:rPr>
        <w:t xml:space="preserve"> </w:t>
      </w:r>
    </w:p>
    <w:bookmarkStart w:id="410" w:name="fn62"/>
    <w:bookmarkEnd w:id="410"/>
    <w:p>
      <w:pPr>
        <w:numPr>
          <w:ilvl w:val="0"/>
          <w:numId w:val="55"/>
        </w:numPr>
        <w:spacing w:line="360" w:after="210" w:lineRule="auto"/>
      </w:pPr>
      <w:hyperlink r:id="rId68">
        <w:r>
          <w:rPr>
            <w:rFonts w:eastAsia="inter" w:cs="inter" w:ascii="inter" w:hAnsi="inter"/>
            <w:color w:val="#000"/>
            <w:sz w:val="18"/>
            <w:u w:val="single"/>
          </w:rPr>
          <w:t xml:space="preserve">https://www.evidentlyai.com/ml-in-production/model-monitoring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11" w:name="fn63"/>
    <w:bookmarkEnd w:id="411"/>
    <w:p>
      <w:pPr>
        <w:numPr>
          <w:ilvl w:val="0"/>
          <w:numId w:val="55"/>
        </w:numPr>
        <w:spacing w:line="360" w:after="210" w:lineRule="auto"/>
      </w:pPr>
      <w:hyperlink r:id="rId69">
        <w:r>
          <w:rPr>
            <w:rFonts w:eastAsia="inter" w:cs="inter" w:ascii="inter" w:hAnsi="inter"/>
            <w:color w:val="#000"/>
            <w:sz w:val="18"/>
            <w:u w:val="single"/>
          </w:rPr>
          <w:t xml:space="preserve">https://www.towerhamlets.gov.uk/lgnl/education_and_learning/research_governance_framework.aspx</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12" w:name="fn64"/>
    <w:bookmarkEnd w:id="412"/>
    <w:p>
      <w:pPr>
        <w:numPr>
          <w:ilvl w:val="0"/>
          <w:numId w:val="55"/>
        </w:numPr>
        <w:spacing w:line="360" w:after="210" w:lineRule="auto"/>
      </w:pPr>
      <w:hyperlink r:id="rId70">
        <w:r>
          <w:rPr>
            <w:rFonts w:eastAsia="inter" w:cs="inter" w:ascii="inter" w:hAnsi="inter"/>
            <w:color w:val="#000"/>
            <w:sz w:val="18"/>
            <w:u w:val="single"/>
          </w:rPr>
          <w:t xml:space="preserve">https://www.infonetica.net/articles/what-is-research-governance-and-compliance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13" w:name="fn65"/>
    <w:bookmarkEnd w:id="413"/>
    <w:p>
      <w:pPr>
        <w:numPr>
          <w:ilvl w:val="0"/>
          <w:numId w:val="55"/>
        </w:numPr>
        <w:spacing w:line="360" w:after="210" w:lineRule="auto"/>
      </w:pPr>
      <w:hyperlink r:id="rId71">
        <w:r>
          <w:rPr>
            <w:rFonts w:eastAsia="inter" w:cs="inter" w:ascii="inter" w:hAnsi="inter"/>
            <w:color w:val="#000"/>
            <w:sz w:val="18"/>
            <w:u w:val="single"/>
          </w:rPr>
          <w:t xml:space="preserve">https://www.youtube.com/watch?v=3VJ5cIxe408</w:t>
        </w:r>
      </w:hyperlink>
      <w:r>
        <w:rPr>
          <w:rFonts w:eastAsia="inter" w:cs="inter" w:ascii="inter" w:hAnsi="inter"/>
          <w:color w:val="000000"/>
          <w:sz w:val="18"/>
        </w:rPr>
        <w:t xml:space="preserve"> </w:t>
      </w:r>
    </w:p>
    <w:bookmarkStart w:id="414" w:name="fn66"/>
    <w:bookmarkEnd w:id="414"/>
    <w:p>
      <w:pPr>
        <w:numPr>
          <w:ilvl w:val="0"/>
          <w:numId w:val="55"/>
        </w:numPr>
        <w:spacing w:line="360" w:after="210" w:lineRule="auto"/>
      </w:pPr>
      <w:hyperlink r:id="rId72">
        <w:r>
          <w:rPr>
            <w:rFonts w:eastAsia="inter" w:cs="inter" w:ascii="inter" w:hAnsi="inter"/>
            <w:color w:val="#000"/>
            <w:sz w:val="18"/>
            <w:u w:val="single"/>
          </w:rPr>
          <w:t xml:space="preserve">https://ascend.thentia.com/technology/regulatory-performance-frameworks/</w:t>
        </w:r>
      </w:hyperlink>
      <w:r>
        <w:rPr>
          <w:rFonts w:eastAsia="inter" w:cs="inter" w:ascii="inter" w:hAnsi="inter"/>
          <w:color w:val="000000"/>
          <w:sz w:val="18"/>
        </w:rPr>
        <w:t xml:space="preserve"> </w:t>
      </w:r>
    </w:p>
    <w:bookmarkStart w:id="415" w:name="fn67"/>
    <w:bookmarkEnd w:id="415"/>
    <w:p>
      <w:pPr>
        <w:numPr>
          <w:ilvl w:val="0"/>
          <w:numId w:val="55"/>
        </w:numPr>
        <w:spacing w:line="360" w:after="210" w:lineRule="auto"/>
      </w:pPr>
      <w:hyperlink r:id="rId73">
        <w:r>
          <w:rPr>
            <w:rFonts w:eastAsia="inter" w:cs="inter" w:ascii="inter" w:hAnsi="inter"/>
            <w:color w:val="#000"/>
            <w:sz w:val="18"/>
            <w:u w:val="single"/>
          </w:rPr>
          <w:t xml:space="preserve">https://ethics.gc.ca/eng/tcps2-eptc2_2018_chapter2-chapitre2.html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16" w:name="fn68"/>
    <w:bookmarkEnd w:id="416"/>
    <w:p>
      <w:pPr>
        <w:numPr>
          <w:ilvl w:val="0"/>
          <w:numId w:val="55"/>
        </w:numPr>
        <w:spacing w:line="360" w:after="210" w:lineRule="auto"/>
      </w:pPr>
      <w:hyperlink r:id="rId74">
        <w:r>
          <w:rPr>
            <w:rFonts w:eastAsia="inter" w:cs="inter" w:ascii="inter" w:hAnsi="inter"/>
            <w:color w:val="#000"/>
            <w:sz w:val="18"/>
            <w:u w:val="single"/>
          </w:rPr>
          <w:t xml:space="preserve">https://researchethics.ubc.ca/clinical-research-ethics/creb-guidance-notes/ubc-clinical-research-ethics-general-guidance-notes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17" w:name="fn69"/>
    <w:bookmarkEnd w:id="417"/>
    <w:p>
      <w:pPr>
        <w:numPr>
          <w:ilvl w:val="0"/>
          <w:numId w:val="55"/>
        </w:numPr>
        <w:spacing w:line="360" w:after="210" w:lineRule="auto"/>
      </w:pPr>
      <w:hyperlink r:id="rId75">
        <w:r>
          <w:rPr>
            <w:rFonts w:eastAsia="inter" w:cs="inter" w:ascii="inter" w:hAnsi="inter"/>
            <w:color w:val="#000"/>
            <w:sz w:val="18"/>
            <w:u w:val="single"/>
          </w:rPr>
          <w:t xml:space="preserve">https://www.ukri.org/councils/esrc/guidance-for-applicants/research-ethics-guidance/research-organisations-and-research-ethics-committees-our-principles-research-ethics-committees/criteria-for-research-ethics-committee-review/</w:t>
        </w:r>
      </w:hyperlink>
      <w:r>
        <w:rPr>
          <w:rFonts w:eastAsia="inter" w:cs="inter" w:ascii="inter" w:hAnsi="inter"/>
          <w:color w:val="000000"/>
          <w:sz w:val="18"/>
        </w:rPr>
        <w:t xml:space="preserve"> </w:t>
      </w:r>
    </w:p>
    <w:bookmarkStart w:id="418" w:name="fn70"/>
    <w:bookmarkEnd w:id="418"/>
    <w:p>
      <w:pPr>
        <w:numPr>
          <w:ilvl w:val="0"/>
          <w:numId w:val="55"/>
        </w:numPr>
        <w:spacing w:line="360" w:after="210" w:lineRule="auto"/>
      </w:pPr>
      <w:hyperlink r:id="rId76">
        <w:r>
          <w:rPr>
            <w:rFonts w:eastAsia="inter" w:cs="inter" w:ascii="inter" w:hAnsi="inter"/>
            <w:color w:val="#000"/>
            <w:sz w:val="18"/>
            <w:u w:val="single"/>
          </w:rPr>
          <w:t xml:space="preserve">https://www.lakeheadu.ca/sites/default/files/profile-data/swright/Guideline - Guideline for the Review of More than Minimal Risk Projects.pdf</w:t>
        </w:r>
      </w:hyperlink>
      <w:r>
        <w:rPr>
          <w:rFonts w:eastAsia="inter" w:cs="inter" w:ascii="inter" w:hAnsi="inter"/>
          <w:color w:val="000000"/>
          <w:sz w:val="18"/>
        </w:rPr>
        <w:t xml:space="preserve"> </w:t>
      </w:r>
    </w:p>
    <w:bookmarkStart w:id="419" w:name="fn71"/>
    <w:bookmarkEnd w:id="419"/>
    <w:p>
      <w:pPr>
        <w:numPr>
          <w:ilvl w:val="0"/>
          <w:numId w:val="55"/>
        </w:numPr>
        <w:spacing w:line="360" w:after="210" w:lineRule="auto"/>
      </w:pPr>
      <w:hyperlink r:id="rId77">
        <w:r>
          <w:rPr>
            <w:rFonts w:eastAsia="inter" w:cs="inter" w:ascii="inter" w:hAnsi="inter"/>
            <w:color w:val="#000"/>
            <w:sz w:val="18"/>
            <w:u w:val="single"/>
          </w:rPr>
          <w:t xml:space="preserve">https://ethics.gc.ca/eng/policy-politique_interpretations_review-evaluation.html</w:t>
        </w:r>
      </w:hyperlink>
      <w:r>
        <w:rPr>
          <w:rFonts w:eastAsia="inter" w:cs="inter" w:ascii="inter" w:hAnsi="inter"/>
          <w:color w:val="000000"/>
          <w:sz w:val="18"/>
        </w:rPr>
        <w:t xml:space="preserve"> </w:t>
      </w:r>
    </w:p>
    <w:bookmarkStart w:id="420" w:name="fn72"/>
    <w:bookmarkEnd w:id="420"/>
    <w:p>
      <w:pPr>
        <w:numPr>
          <w:ilvl w:val="0"/>
          <w:numId w:val="55"/>
        </w:numPr>
        <w:spacing w:line="360" w:after="210" w:lineRule="auto"/>
      </w:pPr>
      <w:hyperlink r:id="rId78">
        <w:r>
          <w:rPr>
            <w:rFonts w:eastAsia="inter" w:cs="inter" w:ascii="inter" w:hAnsi="inter"/>
            <w:color w:val="#000"/>
            <w:sz w:val="18"/>
            <w:u w:val="single"/>
          </w:rPr>
          <w:t xml:space="preserve">https://www.hra.nhs.uk/approvals-amendments/what-approvals-do-i-need/research-ethics-committee-review/applying-research-ethics-committee/proportionate-review-toolkit/</w:t>
        </w:r>
      </w:hyperlink>
      <w:r>
        <w:rPr>
          <w:rFonts w:eastAsia="inter" w:cs="inter" w:ascii="inter" w:hAnsi="inter"/>
          <w:color w:val="000000"/>
          <w:sz w:val="18"/>
        </w:rPr>
        <w:t xml:space="preserve"> </w:t>
      </w:r>
    </w:p>
    <w:bookmarkStart w:id="421" w:name="fn73"/>
    <w:bookmarkEnd w:id="421"/>
    <w:p>
      <w:pPr>
        <w:numPr>
          <w:ilvl w:val="0"/>
          <w:numId w:val="55"/>
        </w:numPr>
        <w:spacing w:line="360" w:after="210" w:lineRule="auto"/>
      </w:pPr>
      <w:hyperlink r:id="rId79">
        <w:r>
          <w:rPr>
            <w:rFonts w:eastAsia="inter" w:cs="inter" w:ascii="inter" w:hAnsi="inter"/>
            <w:color w:val="#000"/>
            <w:sz w:val="18"/>
            <w:u w:val="single"/>
          </w:rPr>
          <w:t xml:space="preserve">https://pmc.ncbi.nlm.nih.gov/articles/PMC3192066/</w:t>
        </w:r>
      </w:hyperlink>
      <w:r>
        <w:rPr>
          <w:rFonts w:eastAsia="inter" w:cs="inter" w:ascii="inter" w:hAnsi="inter"/>
          <w:color w:val="000000"/>
          <w:sz w:val="18"/>
        </w:rPr>
        <w:t xml:space="preserve"> </w:t>
      </w:r>
    </w:p>
    <w:bookmarkStart w:id="422" w:name="fn74"/>
    <w:bookmarkEnd w:id="422"/>
    <w:p>
      <w:pPr>
        <w:numPr>
          <w:ilvl w:val="0"/>
          <w:numId w:val="55"/>
        </w:numPr>
        <w:spacing w:line="360" w:after="210" w:lineRule="auto"/>
      </w:pPr>
      <w:hyperlink r:id="rId80">
        <w:r>
          <w:rPr>
            <w:rFonts w:eastAsia="inter" w:cs="inter" w:ascii="inter" w:hAnsi="inter"/>
            <w:color w:val="#000"/>
            <w:sz w:val="18"/>
            <w:u w:val="single"/>
          </w:rPr>
          <w:t xml:space="preserve">https://www.douglascollege.ca/about-douglas/learn-about-douglas/research-college/research-ethics-policies/about-research-ethics</w:t>
        </w:r>
      </w:hyperlink>
      <w:r>
        <w:rPr>
          <w:rFonts w:eastAsia="inter" w:cs="inter" w:ascii="inter" w:hAnsi="inter"/>
          <w:color w:val="000000"/>
          <w:sz w:val="18"/>
        </w:rPr>
        <w:t xml:space="preserve"> </w:t>
      </w:r>
    </w:p>
    <w:bookmarkStart w:id="423" w:name="fn75"/>
    <w:bookmarkEnd w:id="423"/>
    <w:p>
      <w:pPr>
        <w:numPr>
          <w:ilvl w:val="0"/>
          <w:numId w:val="55"/>
        </w:numPr>
        <w:spacing w:line="360" w:after="210" w:lineRule="auto"/>
      </w:pPr>
      <w:hyperlink r:id="rId81">
        <w:r>
          <w:rPr>
            <w:rFonts w:eastAsia="inter" w:cs="inter" w:ascii="inter" w:hAnsi="inter"/>
            <w:color w:val="#000"/>
            <w:sz w:val="18"/>
            <w:u w:val="single"/>
          </w:rPr>
          <w:t xml:space="preserve">https://www.smu.ca/hreb/initial-review-guidance.html</w:t>
        </w:r>
      </w:hyperlink>
      <w:r>
        <w:rPr>
          <w:rFonts w:eastAsia="inter" w:cs="inter" w:ascii="inter" w:hAnsi="inter"/>
          <w:color w:val="000000"/>
          <w:sz w:val="18"/>
        </w:rPr>
        <w:t xml:space="preserve"> </w:t>
      </w:r>
    </w:p>
    <w:bookmarkStart w:id="424" w:name="fn76"/>
    <w:bookmarkEnd w:id="424"/>
    <w:p>
      <w:pPr>
        <w:numPr>
          <w:ilvl w:val="0"/>
          <w:numId w:val="55"/>
        </w:numPr>
        <w:spacing w:line="360" w:after="210" w:lineRule="auto"/>
      </w:pPr>
      <w:hyperlink r:id="rId82">
        <w:r>
          <w:rPr>
            <w:rFonts w:eastAsia="inter" w:cs="inter" w:ascii="inter" w:hAnsi="inter"/>
            <w:color w:val="#000"/>
            <w:sz w:val="18"/>
            <w:u w:val="single"/>
          </w:rPr>
          <w:t xml:space="preserve">https://researchsupport.admin.ox.ac.uk/governance/ethics/faqs-glossary/faqs</w:t>
        </w:r>
      </w:hyperlink>
      <w:r>
        <w:rPr>
          <w:rFonts w:eastAsia="inter" w:cs="inter" w:ascii="inter" w:hAnsi="inter"/>
          <w:color w:val="000000"/>
          <w:sz w:val="18"/>
        </w:rPr>
        <w:t xml:space="preserve"> </w:t>
      </w:r>
    </w:p>
    <w:bookmarkStart w:id="425" w:name="fn77"/>
    <w:bookmarkEnd w:id="425"/>
    <w:p>
      <w:pPr>
        <w:numPr>
          <w:ilvl w:val="0"/>
          <w:numId w:val="55"/>
        </w:numPr>
        <w:spacing w:line="360" w:after="210" w:lineRule="auto"/>
      </w:pPr>
      <w:hyperlink r:id="rId83">
        <w:r>
          <w:rPr>
            <w:rFonts w:eastAsia="inter" w:cs="inter" w:ascii="inter" w:hAnsi="inter"/>
            <w:color w:val="#000"/>
            <w:sz w:val="18"/>
            <w:u w:val="single"/>
          </w:rPr>
          <w:t xml:space="preserve">https://umanitoba.ca/research/sites/research/files/2024-08/determining-reb-review-type-guidelines-august-2024.pdf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26" w:name="fn78"/>
    <w:bookmarkEnd w:id="426"/>
    <w:p>
      <w:pPr>
        <w:numPr>
          <w:ilvl w:val="0"/>
          <w:numId w:val="55"/>
        </w:numPr>
        <w:spacing w:line="360" w:after="210" w:lineRule="auto"/>
      </w:pPr>
      <w:hyperlink r:id="rId84">
        <w:r>
          <w:rPr>
            <w:rFonts w:eastAsia="inter" w:cs="inter" w:ascii="inter" w:hAnsi="inter"/>
            <w:color w:val="#000"/>
            <w:sz w:val="18"/>
            <w:u w:val="single"/>
          </w:rPr>
          <w:t xml:space="preserve">https://www.unbc.ca/sites/default/files/sections/office-research-and-innovation/researchriskassessmentguidelines.pdf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27" w:name="fn79"/>
    <w:bookmarkEnd w:id="427"/>
    <w:p>
      <w:pPr>
        <w:numPr>
          <w:ilvl w:val="0"/>
          <w:numId w:val="55"/>
        </w:numPr>
        <w:spacing w:line="360" w:after="210" w:lineRule="auto"/>
      </w:pPr>
      <w:hyperlink r:id="rId85">
        <w:r>
          <w:rPr>
            <w:rFonts w:eastAsia="inter" w:cs="inter" w:ascii="inter" w:hAnsi="inter"/>
            <w:color w:val="#000"/>
            <w:sz w:val="18"/>
            <w:u w:val="single"/>
          </w:rPr>
          <w:t xml:space="preserve">https://www.tc.columbia.edu/institutional-review-board/irb-blog/2023/ways-to-minimize-human-subjects-research-risk/</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28" w:name="fn80"/>
    <w:bookmarkEnd w:id="428"/>
    <w:p>
      <w:pPr>
        <w:numPr>
          <w:ilvl w:val="0"/>
          <w:numId w:val="55"/>
        </w:numPr>
        <w:spacing w:line="360" w:after="210" w:lineRule="auto"/>
      </w:pPr>
      <w:hyperlink r:id="rId86">
        <w:r>
          <w:rPr>
            <w:rFonts w:eastAsia="inter" w:cs="inter" w:ascii="inter" w:hAnsi="inter"/>
            <w:color w:val="#000"/>
            <w:sz w:val="18"/>
            <w:u w:val="single"/>
          </w:rPr>
          <w:t xml:space="preserve">https://ethics.gc.ca/eng/tcps2-eptc2_2018_chapter2-chapitre2.html</w:t>
        </w:r>
      </w:hyperlink>
      <w:r>
        <w:rPr>
          <w:rFonts w:eastAsia="inter" w:cs="inter" w:ascii="inter" w:hAnsi="inter"/>
          <w:color w:val="000000"/>
          <w:sz w:val="18"/>
        </w:rPr>
        <w:t xml:space="preserve"> </w:t>
      </w:r>
    </w:p>
    <w:bookmarkStart w:id="429" w:name="fn81"/>
    <w:bookmarkEnd w:id="429"/>
    <w:p>
      <w:pPr>
        <w:numPr>
          <w:ilvl w:val="0"/>
          <w:numId w:val="55"/>
        </w:numPr>
        <w:spacing w:line="360" w:after="210" w:lineRule="auto"/>
      </w:pPr>
      <w:hyperlink r:id="rId87">
        <w:r>
          <w:rPr>
            <w:rFonts w:eastAsia="inter" w:cs="inter" w:ascii="inter" w:hAnsi="inter"/>
            <w:color w:val="#000"/>
            <w:sz w:val="18"/>
            <w:u w:val="single"/>
          </w:rPr>
          <w:t xml:space="preserve">https://researchethics.ubc.ca/clinical-research-ethics/creb-guidance-notes/ubc-clinical-research-ethics-general-guidance-notes</w:t>
        </w:r>
      </w:hyperlink>
      <w:r>
        <w:rPr>
          <w:rFonts w:eastAsia="inter" w:cs="inter" w:ascii="inter" w:hAnsi="inter"/>
          <w:color w:val="000000"/>
          <w:sz w:val="18"/>
        </w:rPr>
        <w:t xml:space="preserve"> </w:t>
      </w:r>
    </w:p>
    <w:bookmarkStart w:id="430" w:name="fn82"/>
    <w:bookmarkEnd w:id="430"/>
    <w:p>
      <w:pPr>
        <w:numPr>
          <w:ilvl w:val="0"/>
          <w:numId w:val="55"/>
        </w:numPr>
        <w:spacing w:line="360" w:after="210" w:lineRule="auto"/>
      </w:pPr>
      <w:hyperlink r:id="rId88">
        <w:r>
          <w:rPr>
            <w:rFonts w:eastAsia="inter" w:cs="inter" w:ascii="inter" w:hAnsi="inter"/>
            <w:color w:val="#000"/>
            <w:sz w:val="18"/>
            <w:u w:val="single"/>
          </w:rPr>
          <w:t xml:space="preserve">https://abilitiescentre.org/Abilities/media/images/REB-SOP-010_Delegated-Review.pdf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31" w:name="fn83"/>
    <w:bookmarkEnd w:id="431"/>
    <w:p>
      <w:pPr>
        <w:numPr>
          <w:ilvl w:val="0"/>
          <w:numId w:val="55"/>
        </w:numPr>
        <w:spacing w:line="360" w:after="210" w:lineRule="auto"/>
      </w:pPr>
      <w:hyperlink r:id="rId89">
        <w:r>
          <w:rPr>
            <w:rFonts w:eastAsia="inter" w:cs="inter" w:ascii="inter" w:hAnsi="inter"/>
            <w:color w:val="#000"/>
            <w:sz w:val="18"/>
            <w:u w:val="single"/>
          </w:rPr>
          <w:t xml:space="preserve">https://sbnsoftware.com/blog/how-to-monitor-and-review-risk-mitigation-efforts/</w:t>
        </w:r>
      </w:hyperlink>
      <w:r>
        <w:rPr>
          <w:rFonts w:eastAsia="inter" w:cs="inter" w:ascii="inter" w:hAnsi="inter"/>
          <w:color w:val="000000"/>
          <w:sz w:val="18"/>
        </w:rPr>
        <w:t xml:space="preserve"> </w:t>
      </w:r>
    </w:p>
    <w:bookmarkStart w:id="432" w:name="fn84"/>
    <w:bookmarkEnd w:id="432"/>
    <w:p>
      <w:pPr>
        <w:numPr>
          <w:ilvl w:val="0"/>
          <w:numId w:val="55"/>
        </w:numPr>
        <w:spacing w:line="360" w:after="210" w:lineRule="auto"/>
      </w:pPr>
      <w:hyperlink r:id="rId90">
        <w:r>
          <w:rPr>
            <w:rFonts w:eastAsia="inter" w:cs="inter" w:ascii="inter" w:hAnsi="inter"/>
            <w:color w:val="#000"/>
            <w:sz w:val="18"/>
            <w:u w:val="single"/>
          </w:rPr>
          <w:t xml:space="preserve">https://researchethics.ubc.ca/sites/default/files/documents/SOP 402 DELEGATED REVIEW - final.doc</w:t>
        </w:r>
      </w:hyperlink>
      <w:r>
        <w:rPr>
          <w:rFonts w:eastAsia="inter" w:cs="inter" w:ascii="inter" w:hAnsi="inter"/>
          <w:color w:val="000000"/>
          <w:sz w:val="18"/>
        </w:rPr>
        <w:t xml:space="preserve"> </w:t>
      </w:r>
    </w:p>
    <w:bookmarkStart w:id="433" w:name="fn85"/>
    <w:bookmarkEnd w:id="433"/>
    <w:p>
      <w:pPr>
        <w:numPr>
          <w:ilvl w:val="0"/>
          <w:numId w:val="55"/>
        </w:numPr>
        <w:spacing w:line="360" w:after="210" w:lineRule="auto"/>
      </w:pPr>
      <w:hyperlink r:id="rId91">
        <w:r>
          <w:rPr>
            <w:rFonts w:eastAsia="inter" w:cs="inter" w:ascii="inter" w:hAnsi="inter"/>
            <w:color w:val="#000"/>
            <w:sz w:val="18"/>
            <w:u w:val="single"/>
          </w:rPr>
          <w:t xml:space="preserve">https://www.lakeheadu.ca/sites/default/files/profile-data/swright/Guideline - Guideline for the Review of More than Minimal Risk Projects.pdf</w:t>
        </w:r>
      </w:hyperlink>
      <w:r>
        <w:rPr>
          <w:rFonts w:eastAsia="inter" w:cs="inter" w:ascii="inter" w:hAnsi="inter"/>
          <w:color w:val="000000"/>
          <w:sz w:val="18"/>
        </w:rPr>
        <w:t xml:space="preserve"> </w:t>
      </w:r>
    </w:p>
    <w:bookmarkStart w:id="434" w:name="fn86"/>
    <w:bookmarkEnd w:id="434"/>
    <w:p>
      <w:pPr>
        <w:numPr>
          <w:ilvl w:val="0"/>
          <w:numId w:val="55"/>
        </w:numPr>
        <w:spacing w:line="360" w:after="210" w:lineRule="auto"/>
      </w:pPr>
      <w:hyperlink r:id="rId92">
        <w:r>
          <w:rPr>
            <w:rFonts w:eastAsia="inter" w:cs="inter" w:ascii="inter" w:hAnsi="inter"/>
            <w:color w:val="#000"/>
            <w:sz w:val="18"/>
            <w:u w:val="single"/>
          </w:rPr>
          <w:t xml:space="preserve">https://ethics.gc.ca/eng/reb-cer_minimal_risk_research-recherche_risque_minimal.html</w:t>
        </w:r>
      </w:hyperlink>
      <w:r>
        <w:rPr>
          <w:rFonts w:eastAsia="inter" w:cs="inter" w:ascii="inter" w:hAnsi="inter"/>
          <w:color w:val="000000"/>
          <w:sz w:val="18"/>
        </w:rPr>
        <w:t xml:space="preserve"> </w:t>
      </w:r>
    </w:p>
    <w:bookmarkStart w:id="435" w:name="fn87"/>
    <w:bookmarkEnd w:id="435"/>
    <w:p>
      <w:pPr>
        <w:numPr>
          <w:ilvl w:val="0"/>
          <w:numId w:val="55"/>
        </w:numPr>
        <w:spacing w:line="360" w:after="210" w:lineRule="auto"/>
      </w:pPr>
      <w:hyperlink r:id="rId93">
        <w:r>
          <w:rPr>
            <w:rFonts w:eastAsia="inter" w:cs="inter" w:ascii="inter" w:hAnsi="inter"/>
            <w:color w:val="#000"/>
            <w:sz w:val="18"/>
            <w:u w:val="single"/>
          </w:rPr>
          <w:t xml:space="preserve">https://research.utoronto.ca/ethics-human-research/determine-if-protocol-qualifies-delegated-review</w:t>
        </w:r>
      </w:hyperlink>
      <w:r>
        <w:rPr>
          <w:rFonts w:eastAsia="inter" w:cs="inter" w:ascii="inter" w:hAnsi="inter"/>
          <w:color w:val="000000"/>
          <w:sz w:val="18"/>
        </w:rPr>
        <w:t xml:space="preserve"> </w:t>
      </w:r>
    </w:p>
    <w:bookmarkStart w:id="436" w:name="fn88"/>
    <w:bookmarkEnd w:id="436"/>
    <w:p>
      <w:pPr>
        <w:numPr>
          <w:ilvl w:val="0"/>
          <w:numId w:val="55"/>
        </w:numPr>
        <w:spacing w:line="360" w:after="210" w:lineRule="auto"/>
      </w:pPr>
      <w:hyperlink r:id="rId94">
        <w:r>
          <w:rPr>
            <w:rFonts w:eastAsia="inter" w:cs="inter" w:ascii="inter" w:hAnsi="inter"/>
            <w:color w:val="#000"/>
            <w:sz w:val="18"/>
            <w:u w:val="single"/>
          </w:rPr>
          <w:t xml:space="preserve">https://ethics.gc.ca/eng/policy-politique_interpretations_review-evaluation.html</w:t>
        </w:r>
      </w:hyperlink>
      <w:r>
        <w:rPr>
          <w:rFonts w:eastAsia="inter" w:cs="inter" w:ascii="inter" w:hAnsi="inter"/>
          <w:color w:val="000000"/>
          <w:sz w:val="18"/>
        </w:rPr>
        <w:t xml:space="preserve"> </w:t>
      </w:r>
    </w:p>
    <w:bookmarkStart w:id="437" w:name="fn89"/>
    <w:bookmarkEnd w:id="437"/>
    <w:p>
      <w:pPr>
        <w:numPr>
          <w:ilvl w:val="0"/>
          <w:numId w:val="55"/>
        </w:numPr>
        <w:spacing w:line="360" w:after="210" w:lineRule="auto"/>
      </w:pPr>
      <w:hyperlink r:id="rId95">
        <w:r>
          <w:rPr>
            <w:rFonts w:eastAsia="inter" w:cs="inter" w:ascii="inter" w:hAnsi="inter"/>
            <w:color w:val="#000"/>
            <w:sz w:val="18"/>
            <w:u w:val="single"/>
          </w:rPr>
          <w:t xml:space="preserve">https://www.hra.nhs.uk/approvals-amendments/what-approvals-do-i-need/research-ethics-committee-review/applying-research-ethics-committee/proportionate-review-toolkit/</w:t>
        </w:r>
      </w:hyperlink>
      <w:r>
        <w:rPr>
          <w:rFonts w:eastAsia="inter" w:cs="inter" w:ascii="inter" w:hAnsi="inter"/>
          <w:color w:val="000000"/>
          <w:sz w:val="18"/>
        </w:rPr>
        <w:t xml:space="preserve"> </w:t>
      </w:r>
    </w:p>
    <w:bookmarkStart w:id="438" w:name="fn90"/>
    <w:bookmarkEnd w:id="438"/>
    <w:p>
      <w:pPr>
        <w:numPr>
          <w:ilvl w:val="0"/>
          <w:numId w:val="55"/>
        </w:numPr>
        <w:spacing w:line="360" w:after="210" w:lineRule="auto"/>
      </w:pPr>
      <w:hyperlink r:id="rId96">
        <w:r>
          <w:rPr>
            <w:rFonts w:eastAsia="inter" w:cs="inter" w:ascii="inter" w:hAnsi="inter"/>
            <w:color w:val="#000"/>
            <w:sz w:val="18"/>
            <w:u w:val="single"/>
          </w:rPr>
          <w:t xml:space="preserve">https://ethics.gc.ca/eng/tcps2-eptc2_2018_chapter2-chapitre2.html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39" w:name="fn91"/>
    <w:bookmarkEnd w:id="439"/>
    <w:p>
      <w:pPr>
        <w:numPr>
          <w:ilvl w:val="0"/>
          <w:numId w:val="55"/>
        </w:numPr>
        <w:spacing w:line="360" w:after="210" w:lineRule="auto"/>
      </w:pPr>
      <w:hyperlink r:id="rId97">
        <w:r>
          <w:rPr>
            <w:rFonts w:eastAsia="inter" w:cs="inter" w:ascii="inter" w:hAnsi="inter"/>
            <w:color w:val="#000"/>
            <w:sz w:val="18"/>
            <w:u w:val="single"/>
          </w:rPr>
          <w:t xml:space="preserve">https://www.hra.nhs.uk/about-us/news-updates/importance-proportionate-risk-based-approach-ethics-approval-hra-view/</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40" w:name="fn92"/>
    <w:bookmarkEnd w:id="440"/>
    <w:p>
      <w:pPr>
        <w:numPr>
          <w:ilvl w:val="0"/>
          <w:numId w:val="55"/>
        </w:numPr>
        <w:spacing w:line="360" w:after="210" w:lineRule="auto"/>
      </w:pPr>
      <w:hyperlink r:id="rId98">
        <w:r>
          <w:rPr>
            <w:rFonts w:eastAsia="inter" w:cs="inter" w:ascii="inter" w:hAnsi="inter"/>
            <w:color w:val="#000"/>
            <w:sz w:val="18"/>
            <w:u w:val="single"/>
          </w:rPr>
          <w:t xml:space="preserve">https://www.evidentlyai.com/ml-in-production/model-monitoring</w:t>
        </w:r>
      </w:hyperlink>
      <w:r>
        <w:rPr>
          <w:rFonts w:eastAsia="inter" w:cs="inter" w:ascii="inter" w:hAnsi="inter"/>
          <w:color w:val="000000"/>
          <w:sz w:val="18"/>
        </w:rPr>
        <w:t xml:space="preserve"> </w:t>
      </w:r>
    </w:p>
    <w:bookmarkStart w:id="441" w:name="fn93"/>
    <w:bookmarkEnd w:id="441"/>
    <w:p>
      <w:pPr>
        <w:numPr>
          <w:ilvl w:val="0"/>
          <w:numId w:val="55"/>
        </w:numPr>
        <w:spacing w:line="360" w:after="210" w:lineRule="auto"/>
      </w:pPr>
      <w:hyperlink r:id="rId99">
        <w:r>
          <w:rPr>
            <w:rFonts w:eastAsia="inter" w:cs="inter" w:ascii="inter" w:hAnsi="inter"/>
            <w:color w:val="#000"/>
            <w:sz w:val="18"/>
            <w:u w:val="single"/>
          </w:rPr>
          <w:t xml:space="preserve">https://ease.org.uk/communities/peer-review-committee/peer-review-toolkit/how-to-select-reviewers/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42" w:name="fn94"/>
    <w:bookmarkEnd w:id="442"/>
    <w:p>
      <w:pPr>
        <w:numPr>
          <w:ilvl w:val="0"/>
          <w:numId w:val="55"/>
        </w:numPr>
        <w:spacing w:line="360" w:after="210" w:lineRule="auto"/>
      </w:pPr>
      <w:hyperlink r:id="rId100">
        <w:r>
          <w:rPr>
            <w:rFonts w:eastAsia="inter" w:cs="inter" w:ascii="inter" w:hAnsi="inter"/>
            <w:color w:val="#000"/>
            <w:sz w:val="18"/>
            <w:u w:val="single"/>
          </w:rPr>
          <w:t xml:space="preserve">https://www.councilscienceeditors.org/2-3-reviewer-roles-and-responsibilities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43" w:name="fn95"/>
    <w:bookmarkEnd w:id="443"/>
    <w:p>
      <w:pPr>
        <w:numPr>
          <w:ilvl w:val="0"/>
          <w:numId w:val="55"/>
        </w:numPr>
        <w:spacing w:line="360" w:after="210" w:lineRule="auto"/>
      </w:pPr>
      <w:hyperlink r:id="rId101">
        <w:r>
          <w:rPr>
            <w:rFonts w:eastAsia="inter" w:cs="inter" w:ascii="inter" w:hAnsi="inter"/>
            <w:color w:val="#000"/>
            <w:sz w:val="18"/>
            <w:u w:val="single"/>
          </w:rPr>
          <w:t xml:space="preserve">https://blog.cellsignal.com/peer-review-succcess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44" w:name="fn96"/>
    <w:bookmarkEnd w:id="444"/>
    <w:p>
      <w:pPr>
        <w:numPr>
          <w:ilvl w:val="0"/>
          <w:numId w:val="55"/>
        </w:numPr>
        <w:spacing w:line="360" w:after="210" w:lineRule="auto"/>
      </w:pPr>
      <w:hyperlink r:id="rId102">
        <w:r>
          <w:rPr>
            <w:rFonts w:eastAsia="inter" w:cs="inter" w:ascii="inter" w:hAnsi="inter"/>
            <w:color w:val="#000"/>
            <w:sz w:val="18"/>
            <w:u w:val="single"/>
          </w:rPr>
          <w:t xml:space="preserve">https://www.springer.com/gp/editorial-policies/peer-review-policy-process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45" w:name="fn97"/>
    <w:bookmarkEnd w:id="445"/>
    <w:p>
      <w:pPr>
        <w:numPr>
          <w:ilvl w:val="0"/>
          <w:numId w:val="55"/>
        </w:numPr>
        <w:spacing w:line="360" w:after="210" w:lineRule="auto"/>
      </w:pPr>
      <w:hyperlink r:id="rId103">
        <w:r>
          <w:rPr>
            <w:rFonts w:eastAsia="inter" w:cs="inter" w:ascii="inter" w:hAnsi="inter"/>
            <w:color w:val="#000"/>
            <w:sz w:val="18"/>
            <w:u w:val="single"/>
          </w:rPr>
          <w:t xml:space="preserve">https://www.youtube.com/watch?v=1r2IyF5TiSE</w:t>
        </w:r>
      </w:hyperlink>
      <w:r>
        <w:rPr>
          <w:rFonts w:eastAsia="inter" w:cs="inter" w:ascii="inter" w:hAnsi="inter"/>
          <w:color w:val="000000"/>
          <w:sz w:val="18"/>
        </w:rPr>
        <w:t xml:space="preserve"> </w:t>
      </w:r>
    </w:p>
    <w:bookmarkStart w:id="446" w:name="fn98"/>
    <w:bookmarkEnd w:id="446"/>
    <w:p>
      <w:pPr>
        <w:numPr>
          <w:ilvl w:val="0"/>
          <w:numId w:val="55"/>
        </w:numPr>
        <w:spacing w:line="360" w:after="210" w:lineRule="auto"/>
      </w:pPr>
      <w:hyperlink r:id="rId104">
        <w:r>
          <w:rPr>
            <w:rFonts w:eastAsia="inter" w:cs="inter" w:ascii="inter" w:hAnsi="inter"/>
            <w:color w:val="#000"/>
            <w:sz w:val="18"/>
            <w:u w:val="single"/>
          </w:rPr>
          <w:t xml:space="preserve">https://www.reviewercredits.com/the-art-of-peer-reviewer-selection-unveiling-a-journal-editors-process/</w:t>
        </w:r>
      </w:hyperlink>
      <w:r>
        <w:rPr>
          <w:rFonts w:eastAsia="inter" w:cs="inter" w:ascii="inter" w:hAnsi="inter"/>
          <w:color w:val="000000"/>
          <w:sz w:val="18"/>
        </w:rPr>
        <w:t xml:space="preserve"> </w:t>
      </w:r>
    </w:p>
    <w:bookmarkStart w:id="447" w:name="fn99"/>
    <w:bookmarkEnd w:id="447"/>
    <w:p>
      <w:pPr>
        <w:numPr>
          <w:ilvl w:val="0"/>
          <w:numId w:val="55"/>
        </w:numPr>
        <w:spacing w:line="360" w:after="210" w:lineRule="auto"/>
      </w:pPr>
      <w:hyperlink r:id="rId105">
        <w:r>
          <w:rPr>
            <w:rFonts w:eastAsia="inter" w:cs="inter" w:ascii="inter" w:hAnsi="inter"/>
            <w:color w:val="#000"/>
            <w:sz w:val="18"/>
            <w:u w:val="single"/>
          </w:rPr>
          <w:t xml:space="preserve">https://scientistseessquirrel.wordpress.com/2018/12/20/how-as-an-editor-i-choose-lists-of-reviewers/</w:t>
        </w:r>
      </w:hyperlink>
      <w:r>
        <w:rPr>
          <w:rFonts w:eastAsia="inter" w:cs="inter" w:ascii="inter" w:hAnsi="inter"/>
          <w:color w:val="000000"/>
          <w:sz w:val="18"/>
        </w:rPr>
        <w:t xml:space="preserve"> </w:t>
      </w:r>
    </w:p>
    <w:bookmarkStart w:id="448" w:name="fn100"/>
    <w:bookmarkEnd w:id="448"/>
    <w:p>
      <w:pPr>
        <w:numPr>
          <w:ilvl w:val="0"/>
          <w:numId w:val="55"/>
        </w:numPr>
        <w:spacing w:line="360" w:after="210" w:lineRule="auto"/>
      </w:pPr>
      <w:hyperlink r:id="rId106">
        <w:r>
          <w:rPr>
            <w:rFonts w:eastAsia="inter" w:cs="inter" w:ascii="inter" w:hAnsi="inter"/>
            <w:color w:val="#000"/>
            <w:sz w:val="18"/>
            <w:u w:val="single"/>
          </w:rPr>
          <w:t xml:space="preserve">https://www.editage.com/insights/how-to-select-peer-reviewers-advice-from-an-expert-journal-editor</w:t>
        </w:r>
      </w:hyperlink>
      <w:r>
        <w:rPr>
          <w:rFonts w:eastAsia="inter" w:cs="inter" w:ascii="inter" w:hAnsi="inter"/>
          <w:color w:val="000000"/>
          <w:sz w:val="18"/>
        </w:rPr>
        <w:t xml:space="preserve"> </w:t>
      </w:r>
    </w:p>
    <w:bookmarkStart w:id="449" w:name="fn101"/>
    <w:bookmarkEnd w:id="449"/>
    <w:p>
      <w:pPr>
        <w:numPr>
          <w:ilvl w:val="0"/>
          <w:numId w:val="55"/>
        </w:numPr>
        <w:spacing w:line="360" w:after="210" w:lineRule="auto"/>
      </w:pPr>
      <w:hyperlink r:id="rId107">
        <w:r>
          <w:rPr>
            <w:rFonts w:eastAsia="inter" w:cs="inter" w:ascii="inter" w:hAnsi="inter"/>
            <w:color w:val="#000"/>
            <w:sz w:val="18"/>
            <w:u w:val="single"/>
          </w:rPr>
          <w:t xml:space="preserve">https://scientific-publishing.webshop.elsevier.com/publication-process/find-and-select-reviewers-for-journal-articles/</w:t>
        </w:r>
      </w:hyperlink>
      <w:r>
        <w:rPr>
          <w:rFonts w:eastAsia="inter" w:cs="inter" w:ascii="inter" w:hAnsi="inter"/>
          <w:color w:val="000000"/>
          <w:sz w:val="18"/>
        </w:rPr>
        <w:t xml:space="preserve"> </w:t>
      </w:r>
    </w:p>
    <w:bookmarkStart w:id="450" w:name="fn102"/>
    <w:bookmarkEnd w:id="450"/>
    <w:p>
      <w:pPr>
        <w:numPr>
          <w:ilvl w:val="0"/>
          <w:numId w:val="55"/>
        </w:numPr>
        <w:spacing w:line="360" w:after="210" w:lineRule="auto"/>
      </w:pPr>
      <w:hyperlink r:id="rId108">
        <w:r>
          <w:rPr>
            <w:rFonts w:eastAsia="inter" w:cs="inter" w:ascii="inter" w:hAnsi="inter"/>
            <w:color w:val="#000"/>
            <w:sz w:val="18"/>
            <w:u w:val="single"/>
          </w:rPr>
          <w:t xml:space="preserve">https://editorresources.taylorandfrancis.com/managing-peer-review-process/how-to-find-peer-reviewers-an-editors-guide/</w:t>
        </w:r>
      </w:hyperlink>
      <w:r>
        <w:rPr>
          <w:rFonts w:eastAsia="inter" w:cs="inter" w:ascii="inter" w:hAnsi="inter"/>
          <w:color w:val="000000"/>
          <w:sz w:val="18"/>
        </w:rPr>
        <w:t xml:space="preserve"> </w:t>
      </w:r>
    </w:p>
    <w:bookmarkStart w:id="451" w:name="fn103"/>
    <w:bookmarkEnd w:id="451"/>
    <w:p>
      <w:pPr>
        <w:numPr>
          <w:ilvl w:val="0"/>
          <w:numId w:val="55"/>
        </w:numPr>
        <w:spacing w:line="360" w:after="210" w:lineRule="auto"/>
      </w:pPr>
      <w:hyperlink r:id="rId109">
        <w:r>
          <w:rPr>
            <w:rFonts w:eastAsia="inter" w:cs="inter" w:ascii="inter" w:hAnsi="inter"/>
            <w:color w:val="#000"/>
            <w:sz w:val="18"/>
            <w:u w:val="single"/>
          </w:rPr>
          <w:t xml:space="preserve">https://mha-it.com/blog/four-types-of-risk-mitigation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52" w:name="fn104"/>
    <w:bookmarkEnd w:id="452"/>
    <w:p>
      <w:pPr>
        <w:numPr>
          <w:ilvl w:val="0"/>
          <w:numId w:val="55"/>
        </w:numPr>
        <w:spacing w:line="360" w:after="210" w:lineRule="auto"/>
      </w:pPr>
      <w:hyperlink r:id="rId110">
        <w:r>
          <w:rPr>
            <w:rFonts w:eastAsia="inter" w:cs="inter" w:ascii="inter" w:hAnsi="inter"/>
            <w:color w:val="#000"/>
            <w:sz w:val="18"/>
            <w:u w:val="single"/>
          </w:rPr>
          <w:t xml:space="preserve">https://www.ncbi.nlm.nih.gov/books/NBK217976/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53" w:name="fn105"/>
    <w:bookmarkEnd w:id="453"/>
    <w:p>
      <w:pPr>
        <w:numPr>
          <w:ilvl w:val="0"/>
          <w:numId w:val="55"/>
        </w:numPr>
        <w:spacing w:line="360" w:after="210" w:lineRule="auto"/>
      </w:pPr>
      <w:hyperlink r:id="rId111">
        <w:r>
          <w:rPr>
            <w:rFonts w:eastAsia="inter" w:cs="inter" w:ascii="inter" w:hAnsi="inter"/>
            <w:color w:val="#000"/>
            <w:sz w:val="18"/>
            <w:u w:val="single"/>
          </w:rPr>
          <w:t xml:space="preserve">https://sbnsoftware.com/blog/what-best-practices-should-be-followed-for-risk-mitigation/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54" w:name="fn106"/>
    <w:bookmarkEnd w:id="454"/>
    <w:p>
      <w:pPr>
        <w:numPr>
          <w:ilvl w:val="0"/>
          <w:numId w:val="55"/>
        </w:numPr>
        <w:spacing w:line="360" w:after="210" w:lineRule="auto"/>
      </w:pPr>
      <w:hyperlink r:id="rId112">
        <w:r>
          <w:rPr>
            <w:rFonts w:eastAsia="inter" w:cs="inter" w:ascii="inter" w:hAnsi="inter"/>
            <w:color w:val="#000"/>
            <w:sz w:val="18"/>
            <w:u w:val="single"/>
          </w:rPr>
          <w:t xml:space="preserve">https://www.scrut.io/post/risk-management-techniques</w:t>
        </w:r>
      </w:hyperlink>
      <w:r>
        <w:rPr>
          <w:rFonts w:eastAsia="inter" w:cs="inter" w:ascii="inter" w:hAnsi="inter"/>
          <w:color w:val="000000"/>
          <w:sz w:val="18"/>
        </w:rPr>
        <w:t xml:space="preserve"> </w:t>
      </w:r>
    </w:p>
    <w:bookmarkStart w:id="455" w:name="fn107"/>
    <w:bookmarkEnd w:id="455"/>
    <w:p>
      <w:pPr>
        <w:numPr>
          <w:ilvl w:val="0"/>
          <w:numId w:val="55"/>
        </w:numPr>
        <w:spacing w:line="360" w:after="210" w:lineRule="auto"/>
      </w:pPr>
      <w:hyperlink r:id="rId113">
        <w:r>
          <w:rPr>
            <w:rFonts w:eastAsia="inter" w:cs="inter" w:ascii="inter" w:hAnsi="inter"/>
            <w:color w:val="#000"/>
            <w:sz w:val="18"/>
            <w:u w:val="single"/>
          </w:rPr>
          <w:t xml:space="preserve">https://www.advarra.com/blog/beginners-guide-to-minimal-risk-research/</w:t>
        </w:r>
      </w:hyperlink>
      <w:r>
        <w:rPr>
          <w:rFonts w:eastAsia="inter" w:cs="inter" w:ascii="inter" w:hAnsi="inter"/>
          <w:color w:val="000000"/>
          <w:sz w:val="18"/>
        </w:rPr>
        <w:t xml:space="preserve"> </w:t>
      </w:r>
    </w:p>
    <w:bookmarkStart w:id="456" w:name="fn108"/>
    <w:bookmarkEnd w:id="456"/>
    <w:p>
      <w:pPr>
        <w:numPr>
          <w:ilvl w:val="0"/>
          <w:numId w:val="55"/>
        </w:numPr>
        <w:spacing w:line="360" w:after="210" w:lineRule="auto"/>
      </w:pPr>
      <w:hyperlink r:id="rId114">
        <w:r>
          <w:rPr>
            <w:rFonts w:eastAsia="inter" w:cs="inter" w:ascii="inter" w:hAnsi="inter"/>
            <w:color w:val="#000"/>
            <w:sz w:val="18"/>
            <w:u w:val="single"/>
          </w:rPr>
          <w:t xml:space="preserve">https://ohrpp.research.ucla.edu/assessing-risks/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57" w:name="fn109"/>
    <w:bookmarkEnd w:id="457"/>
    <w:p>
      <w:pPr>
        <w:numPr>
          <w:ilvl w:val="0"/>
          <w:numId w:val="55"/>
        </w:numPr>
        <w:spacing w:line="360" w:after="210" w:lineRule="auto"/>
      </w:pPr>
      <w:hyperlink r:id="rId115">
        <w:r>
          <w:rPr>
            <w:rFonts w:eastAsia="inter" w:cs="inter" w:ascii="inter" w:hAnsi="inter"/>
            <w:color w:val="#000"/>
            <w:sz w:val="18"/>
            <w:u w:val="single"/>
          </w:rPr>
          <w:t xml:space="preserve">https://irb.ucsf.edu/levels-review</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58" w:name="fn110"/>
    <w:bookmarkEnd w:id="458"/>
    <w:p>
      <w:pPr>
        <w:numPr>
          <w:ilvl w:val="0"/>
          <w:numId w:val="55"/>
        </w:numPr>
        <w:spacing w:line="360" w:after="210" w:lineRule="auto"/>
      </w:pPr>
      <w:hyperlink r:id="rId116">
        <w:r>
          <w:rPr>
            <w:rFonts w:eastAsia="inter" w:cs="inter" w:ascii="inter" w:hAnsi="inter"/>
            <w:color w:val="#000"/>
            <w:sz w:val="18"/>
            <w:u w:val="single"/>
          </w:rPr>
          <w:t xml:space="preserve">https://www.uoguelph.ca/research/support-document/how-do-i-determine-level-risk-my-project</w:t>
        </w:r>
      </w:hyperlink>
      <w:r>
        <w:rPr>
          <w:rFonts w:eastAsia="inter" w:cs="inter" w:ascii="inter" w:hAnsi="inter"/>
          <w:color w:val="000000"/>
          <w:sz w:val="18"/>
        </w:rPr>
        <w:t xml:space="preserve"> </w:t>
      </w:r>
    </w:p>
    <w:bookmarkStart w:id="459" w:name="fn111"/>
    <w:bookmarkEnd w:id="459"/>
    <w:p>
      <w:pPr>
        <w:numPr>
          <w:ilvl w:val="0"/>
          <w:numId w:val="55"/>
        </w:numPr>
        <w:spacing w:line="360" w:after="210" w:lineRule="auto"/>
      </w:pPr>
      <w:hyperlink r:id="rId117">
        <w:r>
          <w:rPr>
            <w:rFonts w:eastAsia="inter" w:cs="inter" w:ascii="inter" w:hAnsi="inter"/>
            <w:color w:val="#000"/>
            <w:sz w:val="18"/>
            <w:u w:val="single"/>
          </w:rPr>
          <w:t xml:space="preserve">https://auditboard.com/blog/risk-mitigation</w:t>
        </w:r>
      </w:hyperlink>
      <w:r>
        <w:rPr>
          <w:rFonts w:eastAsia="inter" w:cs="inter" w:ascii="inter" w:hAnsi="inter"/>
          <w:color w:val="000000"/>
          <w:sz w:val="18"/>
        </w:rPr>
        <w:t xml:space="preserve"> </w:t>
      </w:r>
    </w:p>
    <w:bookmarkStart w:id="460" w:name="fn112"/>
    <w:bookmarkEnd w:id="460"/>
    <w:p>
      <w:pPr>
        <w:numPr>
          <w:ilvl w:val="0"/>
          <w:numId w:val="55"/>
        </w:numPr>
        <w:spacing w:line="360" w:after="210" w:lineRule="auto"/>
      </w:pPr>
      <w:hyperlink r:id="rId118">
        <w:r>
          <w:rPr>
            <w:rFonts w:eastAsia="inter" w:cs="inter" w:ascii="inter" w:hAnsi="inter"/>
            <w:color w:val="#000"/>
            <w:sz w:val="18"/>
            <w:u w:val="single"/>
          </w:rPr>
          <w:t xml:space="preserve">https://www.alertmedia.com/blog/risk-mitigation-strategies/</w:t>
        </w:r>
      </w:hyperlink>
      <w:r>
        <w:rPr>
          <w:rFonts w:eastAsia="inter" w:cs="inter" w:ascii="inter" w:hAnsi="inter"/>
          <w:color w:val="000000"/>
          <w:sz w:val="18"/>
        </w:rPr>
        <w:t xml:space="preserve"> </w:t>
      </w:r>
    </w:p>
    <w:bookmarkStart w:id="461" w:name="fn113"/>
    <w:bookmarkEnd w:id="461"/>
    <w:p>
      <w:pPr>
        <w:numPr>
          <w:ilvl w:val="0"/>
          <w:numId w:val="55"/>
        </w:numPr>
        <w:spacing w:line="360" w:after="210" w:lineRule="auto"/>
      </w:pPr>
      <w:hyperlink r:id="rId119">
        <w:r>
          <w:rPr>
            <w:rFonts w:eastAsia="inter" w:cs="inter" w:ascii="inter" w:hAnsi="inter"/>
            <w:color w:val="#000"/>
            <w:sz w:val="18"/>
            <w:u w:val="single"/>
          </w:rPr>
          <w:t xml:space="preserve">https://researchethics.ubc.ca/sites/default/files/documents/SOP 402 DELEGATED REVIEW - final.doc</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62" w:name="fn114"/>
    <w:bookmarkEnd w:id="462"/>
    <w:p>
      <w:pPr>
        <w:numPr>
          <w:ilvl w:val="0"/>
          <w:numId w:val="55"/>
        </w:numPr>
        <w:spacing w:line="360" w:after="210" w:lineRule="auto"/>
      </w:pPr>
      <w:hyperlink r:id="rId120">
        <w:r>
          <w:rPr>
            <w:rFonts w:eastAsia="inter" w:cs="inter" w:ascii="inter" w:hAnsi="inter"/>
            <w:color w:val="#000"/>
            <w:sz w:val="18"/>
            <w:u w:val="single"/>
          </w:rPr>
          <w:t xml:space="preserve">https://www.brany.com/the-delegation-of-duties-where-the-buck-stops/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63" w:name="fn115"/>
    <w:bookmarkEnd w:id="463"/>
    <w:p>
      <w:pPr>
        <w:numPr>
          <w:ilvl w:val="0"/>
          <w:numId w:val="55"/>
        </w:numPr>
        <w:spacing w:line="360" w:after="210" w:lineRule="auto"/>
      </w:pPr>
      <w:hyperlink r:id="rId121">
        <w:r>
          <w:rPr>
            <w:rFonts w:eastAsia="inter" w:cs="inter" w:ascii="inter" w:hAnsi="inter"/>
            <w:color w:val="#000"/>
            <w:sz w:val="18"/>
            <w:u w:val="single"/>
          </w:rPr>
          <w:t xml:space="preserve">https://myscrs.org/wp-content/uploads/2019/10/TransCelerate_Site-Signature-and-Delegation-of-Responsibilities-Log-Guidance-Document-V2.0-Q3-2019.pdf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64" w:name="fn116"/>
    <w:bookmarkEnd w:id="464"/>
    <w:p>
      <w:pPr>
        <w:numPr>
          <w:ilvl w:val="0"/>
          <w:numId w:val="55"/>
        </w:numPr>
        <w:spacing w:line="360" w:after="210" w:lineRule="auto"/>
      </w:pPr>
      <w:hyperlink r:id="rId122">
        <w:r>
          <w:rPr>
            <w:rFonts w:eastAsia="inter" w:cs="inter" w:ascii="inter" w:hAnsi="inter"/>
            <w:color w:val="#000"/>
            <w:sz w:val="18"/>
            <w:u w:val="single"/>
          </w:rPr>
          <w:t xml:space="preserve">https://sunnybrook.ca/uploads/1/hrpp/reb-sop-iv-02-004-delegated-review-procedure.pdf</w:t>
        </w:r>
      </w:hyperlink>
      <w:r>
        <w:rPr>
          <w:rFonts w:eastAsia="inter" w:cs="inter" w:ascii="inter" w:hAnsi="inter"/>
          <w:color w:val="000000"/>
          <w:sz w:val="18"/>
        </w:rPr>
        <w:t xml:space="preserve"> </w:t>
      </w:r>
    </w:p>
    <w:bookmarkStart w:id="465" w:name="fn117"/>
    <w:bookmarkEnd w:id="465"/>
    <w:p>
      <w:pPr>
        <w:numPr>
          <w:ilvl w:val="0"/>
          <w:numId w:val="55"/>
        </w:numPr>
        <w:spacing w:line="360" w:after="210" w:lineRule="auto"/>
      </w:pPr>
      <w:hyperlink r:id="rId123">
        <w:r>
          <w:rPr>
            <w:rFonts w:eastAsia="inter" w:cs="inter" w:ascii="inter" w:hAnsi="inter"/>
            <w:color w:val="#000"/>
            <w:sz w:val="18"/>
            <w:u w:val="single"/>
          </w:rPr>
          <w:t xml:space="preserve">https://19january2021snapshot.epa.gov/sites/static/files/2015-09/documents/intro_to_delegated_qa_approving_officers_training.pdf</w:t>
        </w:r>
      </w:hyperlink>
      <w:r>
        <w:rPr>
          <w:rFonts w:eastAsia="inter" w:cs="inter" w:ascii="inter" w:hAnsi="inter"/>
          <w:color w:val="000000"/>
          <w:sz w:val="18"/>
        </w:rPr>
        <w:t xml:space="preserve"> </w:t>
      </w:r>
    </w:p>
    <w:bookmarkStart w:id="466" w:name="fn118"/>
    <w:bookmarkEnd w:id="466"/>
    <w:p>
      <w:pPr>
        <w:numPr>
          <w:ilvl w:val="0"/>
          <w:numId w:val="55"/>
        </w:numPr>
        <w:spacing w:line="360" w:after="210" w:lineRule="auto"/>
      </w:pPr>
      <w:hyperlink r:id="rId124">
        <w:r>
          <w:rPr>
            <w:rFonts w:eastAsia="inter" w:cs="inter" w:ascii="inter" w:hAnsi="inter"/>
            <w:color w:val="#000"/>
            <w:sz w:val="18"/>
            <w:u w:val="single"/>
          </w:rPr>
          <w:t xml:space="preserve">https://elsmar.com/elsmarqualityforum/threads/evidence-of-review-and-approval.656/</w:t>
        </w:r>
      </w:hyperlink>
      <w:r>
        <w:rPr>
          <w:rFonts w:eastAsia="inter" w:cs="inter" w:ascii="inter" w:hAnsi="inter"/>
          <w:color w:val="000000"/>
          <w:sz w:val="18"/>
        </w:rPr>
        <w:t xml:space="preserve"> </w:t>
      </w:r>
    </w:p>
    <w:bookmarkStart w:id="467" w:name="fn119"/>
    <w:bookmarkEnd w:id="467"/>
    <w:p>
      <w:pPr>
        <w:numPr>
          <w:ilvl w:val="0"/>
          <w:numId w:val="55"/>
        </w:numPr>
        <w:spacing w:line="360" w:after="210" w:lineRule="auto"/>
      </w:pPr>
      <w:hyperlink r:id="rId125">
        <w:r>
          <w:rPr>
            <w:rFonts w:eastAsia="inter" w:cs="inter" w:ascii="inter" w:hAnsi="inter"/>
            <w:color w:val="#000"/>
            <w:sz w:val="18"/>
            <w:u w:val="single"/>
          </w:rPr>
          <w:t xml:space="preserve">https://experienceleague.adobe.com/en/docs/workfront/using/review-and-approve-work/work-approvals/delegate-approval-requests</w:t>
        </w:r>
      </w:hyperlink>
      <w:r>
        <w:rPr>
          <w:rFonts w:eastAsia="inter" w:cs="inter" w:ascii="inter" w:hAnsi="inter"/>
          <w:color w:val="000000"/>
          <w:sz w:val="18"/>
        </w:rPr>
        <w:t xml:space="preserve"> </w:t>
      </w:r>
    </w:p>
    <w:bookmarkStart w:id="468" w:name="fn120"/>
    <w:bookmarkEnd w:id="468"/>
    <w:p>
      <w:pPr>
        <w:numPr>
          <w:ilvl w:val="0"/>
          <w:numId w:val="55"/>
        </w:numPr>
        <w:spacing w:line="360" w:after="210" w:lineRule="auto"/>
      </w:pPr>
      <w:hyperlink r:id="rId126">
        <w:r>
          <w:rPr>
            <w:rFonts w:eastAsia="inter" w:cs="inter" w:ascii="inter" w:hAnsi="inter"/>
            <w:color w:val="#000"/>
            <w:sz w:val="18"/>
            <w:u w:val="single"/>
          </w:rPr>
          <w:t xml:space="preserve">https://grants.nih.gov/policy-and-compliance/policy-topics/research-integrity/confidentiality-peer-review</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69" w:name="fn121"/>
    <w:bookmarkEnd w:id="469"/>
    <w:p>
      <w:pPr>
        <w:numPr>
          <w:ilvl w:val="0"/>
          <w:numId w:val="55"/>
        </w:numPr>
        <w:spacing w:line="360" w:after="210" w:lineRule="auto"/>
      </w:pPr>
      <w:hyperlink r:id="rId127">
        <w:r>
          <w:rPr>
            <w:rFonts w:eastAsia="inter" w:cs="inter" w:ascii="inter" w:hAnsi="inter"/>
            <w:color w:val="#000"/>
            <w:sz w:val="18"/>
            <w:u w:val="single"/>
          </w:rPr>
          <w:t xml:space="preserve">https://www.redactable.com/blog/protecting-confidential-information-best-security-practices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70" w:name="fn122"/>
    <w:bookmarkEnd w:id="470"/>
    <w:p>
      <w:pPr>
        <w:numPr>
          <w:ilvl w:val="0"/>
          <w:numId w:val="55"/>
        </w:numPr>
        <w:spacing w:line="360" w:after="210" w:lineRule="auto"/>
      </w:pPr>
      <w:hyperlink r:id="rId128">
        <w:r>
          <w:rPr>
            <w:rFonts w:eastAsia="inter" w:cs="inter" w:ascii="inter" w:hAnsi="inter"/>
            <w:color w:val="#000"/>
            <w:sz w:val="18"/>
            <w:u w:val="single"/>
          </w:rPr>
          <w:t xml:space="preserve">https://www.advarra.com/blog/beginners-guide-to-minimal-risk-research/</w:t>
        </w:r>
      </w:hyperlink>
      <w:r>
        <w:rPr>
          <w:rFonts w:eastAsia="inter" w:cs="inter" w:ascii="inter" w:hAnsi="inter"/>
          <w:color w:val="000000"/>
          <w:sz w:val="18"/>
        </w:rPr>
        <w:t xml:space="preserve"> </w:t>
      </w:r>
    </w:p>
    <w:bookmarkStart w:id="471" w:name="fn123"/>
    <w:bookmarkEnd w:id="471"/>
    <w:p>
      <w:pPr>
        <w:numPr>
          <w:ilvl w:val="0"/>
          <w:numId w:val="55"/>
        </w:numPr>
        <w:spacing w:line="360" w:after="210" w:lineRule="auto"/>
      </w:pPr>
      <w:hyperlink r:id="rId129">
        <w:r>
          <w:rPr>
            <w:rFonts w:eastAsia="inter" w:cs="inter" w:ascii="inter" w:hAnsi="inter"/>
            <w:color w:val="#000"/>
            <w:sz w:val="18"/>
            <w:u w:val="single"/>
          </w:rPr>
          <w:t xml:space="preserve">https://nvlpubs.nist.gov/nistpubs/legacy/sp/nistspecialpublication800-122.pdf</w:t>
        </w:r>
      </w:hyperlink>
      <w:r>
        <w:rPr>
          <w:rFonts w:eastAsia="inter" w:cs="inter" w:ascii="inter" w:hAnsi="inter"/>
          <w:color w:val="000000"/>
          <w:sz w:val="18"/>
        </w:rPr>
        <w:t xml:space="preserve"> </w:t>
      </w:r>
    </w:p>
    <w:bookmarkStart w:id="472" w:name="fn124"/>
    <w:bookmarkEnd w:id="472"/>
    <w:p>
      <w:pPr>
        <w:numPr>
          <w:ilvl w:val="0"/>
          <w:numId w:val="55"/>
        </w:numPr>
        <w:spacing w:line="360" w:after="210" w:lineRule="auto"/>
      </w:pPr>
      <w:hyperlink r:id="rId130">
        <w:r>
          <w:rPr>
            <w:rFonts w:eastAsia="inter" w:cs="inter" w:ascii="inter" w:hAnsi="inter"/>
            <w:color w:val="#000"/>
            <w:sz w:val="18"/>
            <w:u w:val="single"/>
          </w:rPr>
          <w:t xml:space="preserve">https://baerreed.com/document-review-special-considerations-with-confidentiality-protective-orders/</w:t>
        </w:r>
      </w:hyperlink>
      <w:r>
        <w:rPr>
          <w:rFonts w:eastAsia="inter" w:cs="inter" w:ascii="inter" w:hAnsi="inter"/>
          <w:color w:val="000000"/>
          <w:sz w:val="18"/>
        </w:rPr>
        <w:t xml:space="preserve"> </w:t>
      </w:r>
    </w:p>
    <w:bookmarkStart w:id="473" w:name="fn125"/>
    <w:bookmarkEnd w:id="473"/>
    <w:p>
      <w:pPr>
        <w:numPr>
          <w:ilvl w:val="0"/>
          <w:numId w:val="55"/>
        </w:numPr>
        <w:spacing w:line="360" w:after="210" w:lineRule="auto"/>
      </w:pPr>
      <w:hyperlink r:id="rId131">
        <w:r>
          <w:rPr>
            <w:rFonts w:eastAsia="inter" w:cs="inter" w:ascii="inter" w:hAnsi="inter"/>
            <w:color w:val="#000"/>
            <w:sz w:val="18"/>
            <w:u w:val="single"/>
          </w:rPr>
          <w:t xml:space="preserve">https://irb.ucsf.edu/levels-review</w:t>
        </w:r>
      </w:hyperlink>
      <w:r>
        <w:rPr>
          <w:rFonts w:eastAsia="inter" w:cs="inter" w:ascii="inter" w:hAnsi="inter"/>
          <w:color w:val="000000"/>
          <w:sz w:val="18"/>
        </w:rPr>
        <w:t xml:space="preserve"> </w:t>
      </w:r>
    </w:p>
    <w:bookmarkStart w:id="474" w:name="fn126"/>
    <w:bookmarkEnd w:id="474"/>
    <w:p>
      <w:pPr>
        <w:numPr>
          <w:ilvl w:val="0"/>
          <w:numId w:val="55"/>
        </w:numPr>
        <w:spacing w:line="360" w:after="210" w:lineRule="auto"/>
      </w:pPr>
      <w:hyperlink r:id="rId132">
        <w:r>
          <w:rPr>
            <w:rFonts w:eastAsia="inter" w:cs="inter" w:ascii="inter" w:hAnsi="inter"/>
            <w:color w:val="#000"/>
            <w:sz w:val="18"/>
            <w:u w:val="single"/>
          </w:rPr>
          <w:t xml:space="preserve">https://www.hhs.gov/ohrp/sachrp-committee/recommendations/2015-september-28-attachment-a/index.html</w:t>
        </w:r>
      </w:hyperlink>
      <w:r>
        <w:rPr>
          <w:rFonts w:eastAsia="inter" w:cs="inter" w:ascii="inter" w:hAnsi="inter"/>
          <w:color w:val="000000"/>
          <w:sz w:val="18"/>
        </w:rPr>
        <w:t xml:space="preserve"> </w:t>
      </w:r>
    </w:p>
    <w:bookmarkStart w:id="475" w:name="fn127"/>
    <w:bookmarkEnd w:id="475"/>
    <w:p>
      <w:pPr>
        <w:numPr>
          <w:ilvl w:val="0"/>
          <w:numId w:val="55"/>
        </w:numPr>
        <w:spacing w:line="360" w:after="210" w:lineRule="auto"/>
      </w:pPr>
      <w:hyperlink r:id="rId133">
        <w:r>
          <w:rPr>
            <w:rFonts w:eastAsia="inter" w:cs="inter" w:ascii="inter" w:hAnsi="inter"/>
            <w:color w:val="#000"/>
            <w:sz w:val="18"/>
            <w:u w:val="single"/>
          </w:rPr>
          <w:t xml:space="preserve">https://phrptraining.com/news/privacy-vs-confidentiality-phrp</w:t>
        </w:r>
      </w:hyperlink>
      <w:r>
        <w:rPr>
          <w:rFonts w:eastAsia="inter" w:cs="inter" w:ascii="inter" w:hAnsi="inter"/>
          <w:color w:val="000000"/>
          <w:sz w:val="18"/>
        </w:rPr>
        <w:t xml:space="preserve"> </w:t>
      </w:r>
    </w:p>
    <w:bookmarkStart w:id="476" w:name="fn128"/>
    <w:bookmarkEnd w:id="476"/>
    <w:p>
      <w:pPr>
        <w:numPr>
          <w:ilvl w:val="0"/>
          <w:numId w:val="55"/>
        </w:numPr>
        <w:spacing w:line="360" w:after="210" w:lineRule="auto"/>
      </w:pPr>
      <w:hyperlink r:id="rId134">
        <w:r>
          <w:rPr>
            <w:rFonts w:eastAsia="inter" w:cs="inter" w:ascii="inter" w:hAnsi="inter"/>
            <w:color w:val="#000"/>
            <w:sz w:val="18"/>
            <w:u w:val="single"/>
          </w:rPr>
          <w:t xml:space="preserve">https://research.utoronto.ca/ethics-human-research/determine-if-protocol-qualifies-delegated-review</w:t>
        </w:r>
      </w:hyperlink>
      <w:r>
        <w:rPr>
          <w:rFonts w:eastAsia="inter" w:cs="inter" w:ascii="inter" w:hAnsi="inter"/>
          <w:color w:val="000000"/>
          <w:sz w:val="18"/>
        </w:rPr>
        <w:t xml:space="preserve"> </w:t>
      </w:r>
    </w:p>
    <w:bookmarkStart w:id="477" w:name="fn129"/>
    <w:bookmarkEnd w:id="477"/>
    <w:p>
      <w:pPr>
        <w:numPr>
          <w:ilvl w:val="0"/>
          <w:numId w:val="55"/>
        </w:numPr>
        <w:spacing w:line="360" w:after="210" w:lineRule="auto"/>
      </w:pPr>
      <w:hyperlink r:id="rId135">
        <w:r>
          <w:rPr>
            <w:rFonts w:eastAsia="inter" w:cs="inter" w:ascii="inter" w:hAnsi="inter"/>
            <w:color w:val="#000"/>
            <w:sz w:val="18"/>
            <w:u w:val="single"/>
          </w:rPr>
          <w:t xml:space="preserve">https://www.samhsa.gov/grants/grants-management/measurement-tools/certificate-confidentiality</w:t>
        </w:r>
      </w:hyperlink>
      <w:r>
        <w:rPr>
          <w:rFonts w:eastAsia="inter" w:cs="inter" w:ascii="inter" w:hAnsi="inter"/>
          <w:color w:val="000000"/>
          <w:sz w:val="18"/>
        </w:rPr>
        <w:t xml:space="preserve"> </w:t>
      </w:r>
    </w:p>
    <w:bookmarkStart w:id="478" w:name="fn130"/>
    <w:bookmarkEnd w:id="478"/>
    <w:p>
      <w:pPr>
        <w:numPr>
          <w:ilvl w:val="0"/>
          <w:numId w:val="55"/>
        </w:numPr>
        <w:spacing w:line="360" w:after="210" w:lineRule="auto"/>
      </w:pPr>
      <w:hyperlink r:id="rId136">
        <w:r>
          <w:rPr>
            <w:rFonts w:eastAsia="inter" w:cs="inter" w:ascii="inter" w:hAnsi="inter"/>
            <w:color w:val="#000"/>
            <w:sz w:val="18"/>
            <w:u w:val="single"/>
          </w:rPr>
          <w:t xml:space="preserve">https://grants.nih.gov/policy-and-compliance/policy-topics/human-subjects/coc/suggested-consent</w:t>
        </w:r>
      </w:hyperlink>
      <w:r>
        <w:rPr>
          <w:rFonts w:eastAsia="inter" w:cs="inter" w:ascii="inter" w:hAnsi="inter"/>
          <w:color w:val="000000"/>
          <w:sz w:val="18"/>
        </w:rPr>
        <w:t xml:space="preserve"> </w:t>
      </w:r>
    </w:p>
    <w:bookmarkStart w:id="479" w:name="fn131"/>
    <w:bookmarkEnd w:id="479"/>
    <w:p>
      <w:pPr>
        <w:numPr>
          <w:ilvl w:val="0"/>
          <w:numId w:val="55"/>
        </w:numPr>
        <w:spacing w:line="360" w:after="210" w:lineRule="auto"/>
      </w:pPr>
      <w:hyperlink r:id="rId137">
        <w:r>
          <w:rPr>
            <w:rFonts w:eastAsia="inter" w:cs="inter" w:ascii="inter" w:hAnsi="inter"/>
            <w:color w:val="#000"/>
            <w:sz w:val="18"/>
            <w:u w:val="single"/>
          </w:rPr>
          <w:t xml:space="preserve">https://www.linkedin.com/pulse/using-ai-peer-review-breach-confidentiality</w:t>
        </w:r>
      </w:hyperlink>
      <w:r>
        <w:rPr>
          <w:rFonts w:eastAsia="inter" w:cs="inter" w:ascii="inter" w:hAnsi="inter"/>
          <w:color w:val="000000"/>
          <w:sz w:val="18"/>
        </w:rPr>
        <w:t xml:space="preserve"> </w:t>
      </w:r>
    </w:p>
    <w:bookmarkStart w:id="480" w:name="fn132"/>
    <w:bookmarkEnd w:id="480"/>
    <w:p>
      <w:pPr>
        <w:numPr>
          <w:ilvl w:val="0"/>
          <w:numId w:val="55"/>
        </w:numPr>
        <w:spacing w:line="360" w:after="210" w:lineRule="auto"/>
      </w:pPr>
      <w:hyperlink r:id="rId138">
        <w:r>
          <w:rPr>
            <w:rFonts w:eastAsia="inter" w:cs="inter" w:ascii="inter" w:hAnsi="inter"/>
            <w:color w:val="#000"/>
            <w:sz w:val="18"/>
            <w:u w:val="single"/>
          </w:rPr>
          <w:t xml:space="preserve">https://research.washu.edu/announcements/peer-review-confidentiality-requirements/</w:t>
        </w:r>
      </w:hyperlink>
      <w:r>
        <w:rPr>
          <w:rFonts w:eastAsia="inter" w:cs="inter" w:ascii="inter" w:hAnsi="inter"/>
          <w:color w:val="000000"/>
          <w:sz w:val="18"/>
        </w:rPr>
        <w:t xml:space="preserve"> </w:t>
      </w:r>
    </w:p>
    <w:bookmarkStart w:id="481" w:name="fn133"/>
    <w:bookmarkEnd w:id="481"/>
    <w:p>
      <w:pPr>
        <w:numPr>
          <w:ilvl w:val="0"/>
          <w:numId w:val="55"/>
        </w:numPr>
        <w:spacing w:line="360" w:after="210" w:lineRule="auto"/>
      </w:pPr>
      <w:hyperlink r:id="rId139">
        <w:r>
          <w:rPr>
            <w:rFonts w:eastAsia="inter" w:cs="inter" w:ascii="inter" w:hAnsi="inter"/>
            <w:color w:val="#000"/>
            <w:sz w:val="18"/>
            <w:u w:val="single"/>
          </w:rPr>
          <w:t xml:space="preserve">https://grants.nih.gov/policy-and-compliance/policy-topics/research-integrity/confidentiality-peer-review</w:t>
        </w:r>
      </w:hyperlink>
      <w:r>
        <w:rPr>
          <w:rFonts w:eastAsia="inter" w:cs="inter" w:ascii="inter" w:hAnsi="inter"/>
          <w:color w:val="000000"/>
          <w:sz w:val="18"/>
        </w:rPr>
        <w:t xml:space="preserve"> </w:t>
      </w:r>
    </w:p>
    <w:bookmarkStart w:id="482" w:name="fn134"/>
    <w:bookmarkEnd w:id="482"/>
    <w:p>
      <w:pPr>
        <w:numPr>
          <w:ilvl w:val="0"/>
          <w:numId w:val="55"/>
        </w:numPr>
        <w:spacing w:line="360" w:after="210" w:lineRule="auto"/>
      </w:pPr>
      <w:hyperlink r:id="rId140">
        <w:r>
          <w:rPr>
            <w:rFonts w:eastAsia="inter" w:cs="inter" w:ascii="inter" w:hAnsi="inter"/>
            <w:color w:val="#000"/>
            <w:sz w:val="18"/>
            <w:u w:val="single"/>
          </w:rPr>
          <w:t xml:space="preserve">https://researchservices.cornell.edu/policies/irb-guidance-nih-certificates-confidentiality</w:t>
        </w:r>
      </w:hyperlink>
      <w:r>
        <w:rPr>
          <w:rFonts w:eastAsia="inter" w:cs="inter" w:ascii="inter" w:hAnsi="inter"/>
          <w:color w:val="000000"/>
          <w:sz w:val="18"/>
        </w:rPr>
        <w:t xml:space="preserve"> </w:t>
      </w:r>
    </w:p>
    <w:bookmarkStart w:id="483" w:name="fn135"/>
    <w:bookmarkEnd w:id="483"/>
    <w:p>
      <w:pPr>
        <w:numPr>
          <w:ilvl w:val="0"/>
          <w:numId w:val="55"/>
        </w:numPr>
        <w:spacing w:line="360" w:after="210" w:lineRule="auto"/>
      </w:pPr>
      <w:hyperlink r:id="rId141">
        <w:r>
          <w:rPr>
            <w:rFonts w:eastAsia="inter" w:cs="inter" w:ascii="inter" w:hAnsi="inter"/>
            <w:color w:val="#000"/>
            <w:sz w:val="18"/>
            <w:u w:val="single"/>
          </w:rPr>
          <w:t xml:space="preserve">https://www.research.va.gov/isrm/csrd/confidentiality.cfm</w:t>
        </w:r>
      </w:hyperlink>
      <w:r>
        <w:rPr>
          <w:rFonts w:eastAsia="inter" w:cs="inter" w:ascii="inter" w:hAnsi="inter"/>
          <w:color w:val="000000"/>
          <w:sz w:val="18"/>
        </w:rPr>
        <w:t xml:space="preserve"> </w:t>
      </w:r>
    </w:p>
    <w:bookmarkStart w:id="484" w:name="fn136"/>
    <w:bookmarkEnd w:id="484"/>
    <w:p>
      <w:pPr>
        <w:numPr>
          <w:ilvl w:val="0"/>
          <w:numId w:val="55"/>
        </w:numPr>
        <w:spacing w:line="360" w:after="210" w:lineRule="auto"/>
      </w:pPr>
      <w:hyperlink r:id="rId142">
        <w:r>
          <w:rPr>
            <w:rFonts w:eastAsia="inter" w:cs="inter" w:ascii="inter" w:hAnsi="inter"/>
            <w:color w:val="#000"/>
            <w:sz w:val="18"/>
            <w:u w:val="single"/>
          </w:rPr>
          <w:t xml:space="preserve">https://www.trustpointlegal.com/blog/12-practical-tips-for-reviewing-non-disclosureconfidentiality-agreements</w:t>
        </w:r>
      </w:hyperlink>
      <w:r>
        <w:rPr>
          <w:rFonts w:eastAsia="inter" w:cs="inter" w:ascii="inter" w:hAnsi="inter"/>
          <w:color w:val="000000"/>
          <w:sz w:val="18"/>
        </w:rPr>
        <w:t xml:space="preserve"> </w:t>
      </w:r>
    </w:p>
    <w:bookmarkStart w:id="485" w:name="fn137"/>
    <w:bookmarkEnd w:id="485"/>
    <w:p>
      <w:pPr>
        <w:numPr>
          <w:ilvl w:val="0"/>
          <w:numId w:val="55"/>
        </w:numPr>
        <w:spacing w:line="360" w:after="210" w:lineRule="auto"/>
      </w:pPr>
      <w:hyperlink r:id="rId143">
        <w:r>
          <w:rPr>
            <w:rFonts w:eastAsia="inter" w:cs="inter" w:ascii="inter" w:hAnsi="inter"/>
            <w:color w:val="#000"/>
            <w:sz w:val="18"/>
            <w:u w:val="single"/>
          </w:rPr>
          <w:t xml:space="preserve">https://biotech.law.lsu.edu/research/fed/NIH/coc/faqs.htm</w:t>
        </w:r>
      </w:hyperlink>
      <w:r>
        <w:rPr>
          <w:rFonts w:eastAsia="inter" w:cs="inter" w:ascii="inter" w:hAnsi="inter"/>
          <w:color w:val="000000"/>
          <w:sz w:val="18"/>
        </w:rPr>
        <w:t xml:space="preserve"> </w:t>
      </w:r>
    </w:p>
    <w:bookmarkStart w:id="486" w:name="fn138"/>
    <w:bookmarkEnd w:id="486"/>
    <w:p>
      <w:pPr>
        <w:numPr>
          <w:ilvl w:val="0"/>
          <w:numId w:val="55"/>
        </w:numPr>
        <w:spacing w:line="360" w:after="210" w:lineRule="auto"/>
      </w:pPr>
      <w:hyperlink r:id="rId144">
        <w:r>
          <w:rPr>
            <w:rFonts w:eastAsia="inter" w:cs="inter" w:ascii="inter" w:hAnsi="inter"/>
            <w:color w:val="#000"/>
            <w:sz w:val="18"/>
            <w:u w:val="single"/>
          </w:rPr>
          <w:t xml:space="preserve">https://www.purdue.edu/legalcounsel/Updated HIPAA Forms/Policies... - inadvertentdisclosureprocedures 4 FINAL.pdf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87" w:name="fn139"/>
    <w:bookmarkEnd w:id="487"/>
    <w:p>
      <w:pPr>
        <w:numPr>
          <w:ilvl w:val="0"/>
          <w:numId w:val="55"/>
        </w:numPr>
        <w:spacing w:line="360" w:after="210" w:lineRule="auto"/>
      </w:pPr>
      <w:hyperlink r:id="rId145">
        <w:r>
          <w:rPr>
            <w:rFonts w:eastAsia="inter" w:cs="inter" w:ascii="inter" w:hAnsi="inter"/>
            <w:color w:val="#000"/>
            <w:sz w:val="18"/>
            <w:u w:val="single"/>
          </w:rPr>
          <w:t xml:space="preserve">https://compliancy-group.com/accidental-disclosure-of-phi/</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88" w:name="fn140"/>
    <w:bookmarkEnd w:id="488"/>
    <w:p>
      <w:pPr>
        <w:numPr>
          <w:ilvl w:val="0"/>
          <w:numId w:val="55"/>
        </w:numPr>
        <w:spacing w:line="360" w:after="210" w:lineRule="auto"/>
      </w:pPr>
      <w:hyperlink r:id="rId146">
        <w:r>
          <w:rPr>
            <w:rFonts w:eastAsia="inter" w:cs="inter" w:ascii="inter" w:hAnsi="inter"/>
            <w:color w:val="#000"/>
            <w:sz w:val="18"/>
            <w:u w:val="single"/>
          </w:rPr>
          <w:t xml:space="preserve">https://www.nycbar.org/reports/practical-guidance-on-the-receipt-of-inadvertently-disclosed-confidential-information/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89" w:name="fn141"/>
    <w:bookmarkEnd w:id="489"/>
    <w:p>
      <w:pPr>
        <w:numPr>
          <w:ilvl w:val="0"/>
          <w:numId w:val="55"/>
        </w:numPr>
        <w:spacing w:line="360" w:after="210" w:lineRule="auto"/>
      </w:pPr>
      <w:hyperlink r:id="rId147">
        <w:r>
          <w:rPr>
            <w:rFonts w:eastAsia="inter" w:cs="inter" w:ascii="inter" w:hAnsi="inter"/>
            <w:color w:val="#000"/>
            <w:sz w:val="18"/>
            <w:u w:val="single"/>
          </w:rPr>
          <w:t xml:space="preserve">https://www.hipaajournal.com/accidental-hipaa-violation/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90" w:name="fn142"/>
    <w:bookmarkEnd w:id="490"/>
    <w:p>
      <w:pPr>
        <w:numPr>
          <w:ilvl w:val="0"/>
          <w:numId w:val="55"/>
        </w:numPr>
        <w:spacing w:line="360" w:after="210" w:lineRule="auto"/>
      </w:pPr>
      <w:hyperlink r:id="rId148">
        <w:r>
          <w:rPr>
            <w:rFonts w:eastAsia="inter" w:cs="inter" w:ascii="inter" w:hAnsi="inter"/>
            <w:color w:val="#000"/>
            <w:sz w:val="18"/>
            <w:u w:val="single"/>
          </w:rPr>
          <w:t xml:space="preserve">https://www.hhs.gov/hipaa/for-professionals/privacy/guidance/incidental-uses-and-disclosures/index.html</w:t>
        </w:r>
      </w:hyperlink>
      <w:r>
        <w:rPr>
          <w:rFonts w:eastAsia="inter" w:cs="inter" w:ascii="inter" w:hAnsi="inter"/>
          <w:color w:val="000000"/>
          <w:sz w:val="18"/>
        </w:rPr>
        <w:t xml:space="preserve"> </w:t>
      </w:r>
    </w:p>
    <w:bookmarkStart w:id="491" w:name="fn143"/>
    <w:bookmarkEnd w:id="491"/>
    <w:p>
      <w:pPr>
        <w:numPr>
          <w:ilvl w:val="0"/>
          <w:numId w:val="55"/>
        </w:numPr>
        <w:spacing w:line="360" w:after="210" w:lineRule="auto"/>
      </w:pPr>
      <w:hyperlink r:id="rId149">
        <w:r>
          <w:rPr>
            <w:rFonts w:eastAsia="inter" w:cs="inter" w:ascii="inter" w:hAnsi="inter"/>
            <w:color w:val="#000"/>
            <w:sz w:val="18"/>
            <w:u w:val="single"/>
          </w:rPr>
          <w:t xml:space="preserve">https://www.dentons.com/en/insights/articles/2023/july/26/disputes-spotlight-privilege-inadvertent-disclosure-of-privileged-documents</w:t>
        </w:r>
      </w:hyperlink>
      <w:r>
        <w:rPr>
          <w:rFonts w:eastAsia="inter" w:cs="inter" w:ascii="inter" w:hAnsi="inter"/>
          <w:color w:val="000000"/>
          <w:sz w:val="18"/>
        </w:rPr>
        <w:t xml:space="preserve"> </w:t>
      </w:r>
    </w:p>
    <w:bookmarkStart w:id="492" w:name="fn144"/>
    <w:bookmarkEnd w:id="492"/>
    <w:p>
      <w:pPr>
        <w:numPr>
          <w:ilvl w:val="0"/>
          <w:numId w:val="55"/>
        </w:numPr>
        <w:spacing w:line="360" w:after="210" w:lineRule="auto"/>
      </w:pPr>
      <w:hyperlink r:id="rId150">
        <w:r>
          <w:rPr>
            <w:rFonts w:eastAsia="inter" w:cs="inter" w:ascii="inter" w:hAnsi="inter"/>
            <w:color w:val="#000"/>
            <w:sz w:val="18"/>
            <w:u w:val="single"/>
          </w:rPr>
          <w:t xml:space="preserve">https://www.aacolpa.com/blog/what-to-do-in-the-case-of-unintentional-disclosure-of-medical-records/</w:t>
        </w:r>
      </w:hyperlink>
      <w:r>
        <w:rPr>
          <w:rFonts w:eastAsia="inter" w:cs="inter" w:ascii="inter" w:hAnsi="inter"/>
          <w:color w:val="000000"/>
          <w:sz w:val="18"/>
        </w:rPr>
        <w:t xml:space="preserve"> </w:t>
      </w:r>
    </w:p>
    <w:bookmarkStart w:id="493" w:name="fn145"/>
    <w:bookmarkEnd w:id="493"/>
    <w:p>
      <w:pPr>
        <w:numPr>
          <w:ilvl w:val="0"/>
          <w:numId w:val="55"/>
        </w:numPr>
        <w:spacing w:line="360" w:after="210" w:lineRule="auto"/>
      </w:pPr>
      <w:hyperlink r:id="rId151">
        <w:r>
          <w:rPr>
            <w:rFonts w:eastAsia="inter" w:cs="inter" w:ascii="inter" w:hAnsi="inter"/>
            <w:color w:val="#000"/>
            <w:sz w:val="18"/>
            <w:u w:val="single"/>
          </w:rPr>
          <w:t xml:space="preserve">https://www.onelegal.com/blog/top-tips-for-handling-confidential-documents-at-your-firm/</w:t>
        </w:r>
      </w:hyperlink>
      <w:r>
        <w:rPr>
          <w:rFonts w:eastAsia="inter" w:cs="inter" w:ascii="inter" w:hAnsi="inter"/>
          <w:color w:val="000000"/>
          <w:sz w:val="18"/>
        </w:rPr>
        <w:t xml:space="preserve"> </w:t>
      </w:r>
    </w:p>
    <w:bookmarkStart w:id="494" w:name="fn146"/>
    <w:bookmarkEnd w:id="494"/>
    <w:p>
      <w:pPr>
        <w:numPr>
          <w:ilvl w:val="0"/>
          <w:numId w:val="55"/>
        </w:numPr>
        <w:spacing w:line="360" w:after="210" w:lineRule="auto"/>
      </w:pPr>
      <w:hyperlink r:id="rId152">
        <w:r>
          <w:rPr>
            <w:rFonts w:eastAsia="inter" w:cs="inter" w:ascii="inter" w:hAnsi="inter"/>
            <w:color w:val="#000"/>
            <w:sz w:val="18"/>
            <w:u w:val="single"/>
          </w:rPr>
          <w:t xml:space="preserve">https://www.aaml.org/wp-content/uploads/MAT104_2.pdf</w:t>
        </w:r>
      </w:hyperlink>
      <w:r>
        <w:rPr>
          <w:rFonts w:eastAsia="inter" w:cs="inter" w:ascii="inter" w:hAnsi="inter"/>
          <w:color w:val="000000"/>
          <w:sz w:val="18"/>
        </w:rPr>
        <w:t xml:space="preserve"> </w:t>
      </w:r>
    </w:p>
    <w:bookmarkStart w:id="495" w:name="fn147"/>
    <w:bookmarkEnd w:id="495"/>
    <w:p>
      <w:pPr>
        <w:numPr>
          <w:ilvl w:val="0"/>
          <w:numId w:val="55"/>
        </w:numPr>
        <w:spacing w:line="360" w:after="210" w:lineRule="auto"/>
      </w:pPr>
      <w:hyperlink r:id="rId153">
        <w:r>
          <w:rPr>
            <w:rFonts w:eastAsia="inter" w:cs="inter" w:ascii="inter" w:hAnsi="inter"/>
            <w:color w:val="#000"/>
            <w:sz w:val="18"/>
            <w:u w:val="single"/>
          </w:rPr>
          <w:t xml:space="preserve">https://www.skofirm.com/news/legal-ethical-and-practical-aspects-of-inadvertent-disclosures/</w:t>
        </w:r>
      </w:hyperlink>
      <w:r>
        <w:rPr>
          <w:rFonts w:eastAsia="inter" w:cs="inter" w:ascii="inter" w:hAnsi="inter"/>
          <w:color w:val="000000"/>
          <w:sz w:val="18"/>
        </w:rPr>
        <w:t xml:space="preserve"> </w:t>
      </w:r>
    </w:p>
    <w:bookmarkStart w:id="496" w:name="fn148"/>
    <w:bookmarkEnd w:id="496"/>
    <w:p>
      <w:pPr>
        <w:numPr>
          <w:ilvl w:val="0"/>
          <w:numId w:val="55"/>
        </w:numPr>
        <w:spacing w:line="360" w:after="210" w:lineRule="auto"/>
      </w:pPr>
      <w:hyperlink r:id="rId154">
        <w:r>
          <w:rPr>
            <w:rFonts w:eastAsia="inter" w:cs="inter" w:ascii="inter" w:hAnsi="inter"/>
            <w:color w:val="#000"/>
            <w:sz w:val="18"/>
            <w:u w:val="single"/>
          </w:rPr>
          <w:t xml:space="preserve">https://www.brickergraydon.com/insights/resources/key/HIPAA-Privacy-Regulations-Uses-and-Disclosures-Organizational-Requirements-Business-Associate-Contracts-164-504-e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97" w:name="fn149"/>
    <w:bookmarkEnd w:id="497"/>
    <w:p>
      <w:pPr>
        <w:numPr>
          <w:ilvl w:val="0"/>
          <w:numId w:val="55"/>
        </w:numPr>
        <w:spacing w:line="360" w:after="210" w:lineRule="auto"/>
      </w:pPr>
      <w:hyperlink r:id="rId155">
        <w:r>
          <w:rPr>
            <w:rFonts w:eastAsia="inter" w:cs="inter" w:ascii="inter" w:hAnsi="inter"/>
            <w:color w:val="#000"/>
            <w:sz w:val="18"/>
            <w:u w:val="single"/>
          </w:rPr>
          <w:t xml:space="preserve">https://www.recordrs.com/blog/everything-you-need-to-know-about-hipaa-accounting-of-disclosures/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98" w:name="fn150"/>
    <w:bookmarkEnd w:id="498"/>
    <w:p>
      <w:pPr>
        <w:numPr>
          <w:ilvl w:val="0"/>
          <w:numId w:val="55"/>
        </w:numPr>
        <w:spacing w:line="360" w:after="210" w:lineRule="auto"/>
      </w:pPr>
      <w:hyperlink r:id="rId156">
        <w:r>
          <w:rPr>
            <w:rFonts w:eastAsia="inter" w:cs="inter" w:ascii="inter" w:hAnsi="inter"/>
            <w:color w:val="#000"/>
            <w:sz w:val="18"/>
            <w:u w:val="single"/>
          </w:rPr>
          <w:t xml:space="preserve">https://www.hipaajournal.com/baa-compliance/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99" w:name="fn151"/>
    <w:bookmarkEnd w:id="499"/>
    <w:p>
      <w:pPr>
        <w:numPr>
          <w:ilvl w:val="0"/>
          <w:numId w:val="55"/>
        </w:numPr>
        <w:spacing w:line="360" w:after="210" w:lineRule="auto"/>
      </w:pPr>
      <w:hyperlink r:id="rId157">
        <w:r>
          <w:rPr>
            <w:rFonts w:eastAsia="inter" w:cs="inter" w:ascii="inter" w:hAnsi="inter"/>
            <w:color w:val="#000"/>
            <w:sz w:val="18"/>
            <w:u w:val="single"/>
          </w:rPr>
          <w:t xml:space="preserve">https://www.hhs.gov/hipaa/for-professionals/privacy/guidance/business-associates/index.html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00" w:name="fn152"/>
    <w:bookmarkEnd w:id="500"/>
    <w:p>
      <w:pPr>
        <w:numPr>
          <w:ilvl w:val="0"/>
          <w:numId w:val="55"/>
        </w:numPr>
        <w:spacing w:line="360" w:after="210" w:lineRule="auto"/>
      </w:pPr>
      <w:hyperlink r:id="rId158">
        <w:r>
          <w:rPr>
            <w:rFonts w:eastAsia="inter" w:cs="inter" w:ascii="inter" w:hAnsi="inter"/>
            <w:color w:val="#000"/>
            <w:sz w:val="18"/>
            <w:u w:val="single"/>
          </w:rPr>
          <w:t xml:space="preserve">https://www.hipaajournal.com/hipaa-compliance-for-business-associates/</w:t>
        </w:r>
      </w:hyperlink>
      <w:r>
        <w:rPr>
          <w:rFonts w:eastAsia="inter" w:cs="inter" w:ascii="inter" w:hAnsi="inter"/>
          <w:color w:val="000000"/>
          <w:sz w:val="18"/>
        </w:rPr>
        <w:t xml:space="preserve"> </w:t>
      </w:r>
    </w:p>
    <w:bookmarkStart w:id="501" w:name="fn153"/>
    <w:bookmarkEnd w:id="501"/>
    <w:p>
      <w:pPr>
        <w:numPr>
          <w:ilvl w:val="0"/>
          <w:numId w:val="55"/>
        </w:numPr>
        <w:spacing w:line="360" w:after="210" w:lineRule="auto"/>
      </w:pPr>
      <w:hyperlink r:id="rId159">
        <w:r>
          <w:rPr>
            <w:rFonts w:eastAsia="inter" w:cs="inter" w:ascii="inter" w:hAnsi="inter"/>
            <w:color w:val="#000"/>
            <w:sz w:val="18"/>
            <w:u w:val="single"/>
          </w:rPr>
          <w:t xml:space="preserve">https://hipaa.yale.edu/sites/default/files/files/5033-PR.pdf</w:t>
        </w:r>
      </w:hyperlink>
      <w:r>
        <w:rPr>
          <w:rFonts w:eastAsia="inter" w:cs="inter" w:ascii="inter" w:hAnsi="inter"/>
          <w:color w:val="000000"/>
          <w:sz w:val="18"/>
        </w:rPr>
        <w:t xml:space="preserve"> </w:t>
      </w:r>
    </w:p>
    <w:bookmarkStart w:id="502" w:name="fn154"/>
    <w:bookmarkEnd w:id="502"/>
    <w:p>
      <w:pPr>
        <w:numPr>
          <w:ilvl w:val="0"/>
          <w:numId w:val="55"/>
        </w:numPr>
        <w:spacing w:line="360" w:after="210" w:lineRule="auto"/>
      </w:pPr>
      <w:hyperlink r:id="rId160">
        <w:r>
          <w:rPr>
            <w:rFonts w:eastAsia="inter" w:cs="inter" w:ascii="inter" w:hAnsi="inter"/>
            <w:color w:val="#000"/>
            <w:sz w:val="18"/>
            <w:u w:val="single"/>
          </w:rPr>
          <w:t xml:space="preserve">https://clearwatersecurity.com/white-papers/hipaa-primer-requirements-for-business-associates/</w:t>
        </w:r>
      </w:hyperlink>
      <w:r>
        <w:rPr>
          <w:rFonts w:eastAsia="inter" w:cs="inter" w:ascii="inter" w:hAnsi="inter"/>
          <w:color w:val="000000"/>
          <w:sz w:val="18"/>
        </w:rPr>
        <w:t xml:space="preserve"> </w:t>
      </w:r>
    </w:p>
    <w:bookmarkStart w:id="503" w:name="fn155"/>
    <w:bookmarkEnd w:id="503"/>
    <w:p>
      <w:pPr>
        <w:numPr>
          <w:ilvl w:val="0"/>
          <w:numId w:val="55"/>
        </w:numPr>
        <w:spacing w:line="360" w:after="210" w:lineRule="auto"/>
      </w:pPr>
      <w:hyperlink r:id="rId161">
        <w:r>
          <w:rPr>
            <w:rFonts w:eastAsia="inter" w:cs="inter" w:ascii="inter" w:hAnsi="inter"/>
            <w:color w:val="#000"/>
            <w:sz w:val="18"/>
            <w:u w:val="single"/>
          </w:rPr>
          <w:t xml:space="preserve">https://www.hollandhart.com/business-associates-use-of-information-for-their-own-purposes</w:t>
        </w:r>
      </w:hyperlink>
      <w:r>
        <w:rPr>
          <w:rFonts w:eastAsia="inter" w:cs="inter" w:ascii="inter" w:hAnsi="inter"/>
          <w:color w:val="000000"/>
          <w:sz w:val="18"/>
        </w:rPr>
        <w:t xml:space="preserve"> </w:t>
      </w:r>
    </w:p>
    <w:bookmarkStart w:id="504" w:name="fn156"/>
    <w:bookmarkEnd w:id="504"/>
    <w:p>
      <w:pPr>
        <w:numPr>
          <w:ilvl w:val="0"/>
          <w:numId w:val="55"/>
        </w:numPr>
        <w:spacing w:line="360" w:after="210" w:lineRule="auto"/>
      </w:pPr>
      <w:hyperlink r:id="rId162">
        <w:r>
          <w:rPr>
            <w:rFonts w:eastAsia="inter" w:cs="inter" w:ascii="inter" w:hAnsi="inter"/>
            <w:color w:val="#000"/>
            <w:sz w:val="18"/>
            <w:u w:val="single"/>
          </w:rPr>
          <w:t xml:space="preserve">https://www.hhs.gov/hipaa/for-professionals/faq/business-associates/index.html</w:t>
        </w:r>
      </w:hyperlink>
      <w:r>
        <w:rPr>
          <w:rFonts w:eastAsia="inter" w:cs="inter" w:ascii="inter" w:hAnsi="inter"/>
          <w:color w:val="000000"/>
          <w:sz w:val="18"/>
        </w:rPr>
        <w:t xml:space="preserve"> </w:t>
      </w:r>
    </w:p>
    <w:bookmarkStart w:id="505" w:name="fn157"/>
    <w:bookmarkEnd w:id="505"/>
    <w:p>
      <w:pPr>
        <w:numPr>
          <w:ilvl w:val="0"/>
          <w:numId w:val="55"/>
        </w:numPr>
        <w:spacing w:line="360" w:after="210" w:lineRule="auto"/>
      </w:pPr>
      <w:hyperlink r:id="rId163">
        <w:r>
          <w:rPr>
            <w:rFonts w:eastAsia="inter" w:cs="inter" w:ascii="inter" w:hAnsi="inter"/>
            <w:color w:val="#000"/>
            <w:sz w:val="18"/>
            <w:u w:val="single"/>
          </w:rPr>
          <w:t xml:space="preserve">https://tax.thomsonreuters.com/blog/how-do-the-hipaa-privacy-rules-apply-to-a-participants-instruction-to-send-their-health-information-to-a-third-party/</w:t>
        </w:r>
      </w:hyperlink>
      <w:r>
        <w:rPr>
          <w:rFonts w:eastAsia="inter" w:cs="inter" w:ascii="inter" w:hAnsi="inter"/>
          <w:color w:val="000000"/>
          <w:sz w:val="18"/>
        </w:rPr>
        <w:t xml:space="preserve"> </w:t>
      </w:r>
    </w:p>
    <w:bookmarkStart w:id="506" w:name="fn158"/>
    <w:bookmarkEnd w:id="506"/>
    <w:p>
      <w:pPr>
        <w:numPr>
          <w:ilvl w:val="0"/>
          <w:numId w:val="55"/>
        </w:numPr>
        <w:spacing w:line="360" w:after="210" w:lineRule="auto"/>
      </w:pPr>
      <w:hyperlink r:id="rId164">
        <w:r>
          <w:rPr>
            <w:rFonts w:eastAsia="inter" w:cs="inter" w:ascii="inter" w:hAnsi="inter"/>
            <w:color w:val="#000"/>
            <w:sz w:val="18"/>
            <w:u w:val="single"/>
          </w:rPr>
          <w:t xml:space="preserve">https://www.hipaajournal.com/hipaa-disclosure-accounting/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07" w:name="fn159"/>
    <w:bookmarkEnd w:id="507"/>
    <w:p>
      <w:pPr>
        <w:numPr>
          <w:ilvl w:val="0"/>
          <w:numId w:val="55"/>
        </w:numPr>
        <w:spacing w:line="360" w:after="210" w:lineRule="auto"/>
      </w:pPr>
      <w:hyperlink r:id="rId165">
        <w:r>
          <w:rPr>
            <w:rFonts w:eastAsia="inter" w:cs="inter" w:ascii="inter" w:hAnsi="inter"/>
            <w:color w:val="#000"/>
            <w:sz w:val="18"/>
            <w:u w:val="single"/>
          </w:rPr>
          <w:t xml:space="preserve">https://www.law.cornell.edu/cfr/text/45/164.528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08" w:name="fn160"/>
    <w:bookmarkEnd w:id="508"/>
    <w:p>
      <w:pPr>
        <w:numPr>
          <w:ilvl w:val="0"/>
          <w:numId w:val="55"/>
        </w:numPr>
        <w:spacing w:line="360" w:after="210" w:lineRule="auto"/>
      </w:pPr>
      <w:hyperlink r:id="rId166">
        <w:r>
          <w:rPr>
            <w:rFonts w:eastAsia="inter" w:cs="inter" w:ascii="inter" w:hAnsi="inter"/>
            <w:color w:val="#000"/>
            <w:sz w:val="18"/>
            <w:u w:val="single"/>
          </w:rPr>
          <w:t xml:space="preserve">https://www.paubox.com/blog/understanding-hipaas-accounting-of-disclosures-requirement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09" w:name="fn161"/>
    <w:bookmarkEnd w:id="509"/>
    <w:p>
      <w:pPr>
        <w:numPr>
          <w:ilvl w:val="0"/>
          <w:numId w:val="55"/>
        </w:numPr>
        <w:spacing w:line="360" w:after="210" w:lineRule="auto"/>
      </w:pPr>
      <w:hyperlink r:id="rId167">
        <w:r>
          <w:rPr>
            <w:rFonts w:eastAsia="inter" w:cs="inter" w:ascii="inter" w:hAnsi="inter"/>
            <w:color w:val="#000"/>
            <w:sz w:val="18"/>
            <w:u w:val="single"/>
          </w:rPr>
          <w:t xml:space="preserve">https://hipaatimes.com/should-business-associates-provide-an-accounting-of-disclosures</w:t>
        </w:r>
      </w:hyperlink>
      <w:r>
        <w:rPr>
          <w:rFonts w:eastAsia="inter" w:cs="inter" w:ascii="inter" w:hAnsi="inter"/>
          <w:color w:val="000000"/>
          <w:sz w:val="18"/>
        </w:rPr>
        <w:t xml:space="preserve"> </w:t>
      </w:r>
    </w:p>
    <w:bookmarkStart w:id="510" w:name="fn162"/>
    <w:bookmarkEnd w:id="510"/>
    <w:p>
      <w:pPr>
        <w:numPr>
          <w:ilvl w:val="0"/>
          <w:numId w:val="55"/>
        </w:numPr>
        <w:spacing w:line="360" w:after="210" w:lineRule="auto"/>
      </w:pPr>
      <w:hyperlink r:id="rId168">
        <w:r>
          <w:rPr>
            <w:rFonts w:eastAsia="inter" w:cs="inter" w:ascii="inter" w:hAnsi="inter"/>
            <w:color w:val="#000"/>
            <w:sz w:val="18"/>
            <w:u w:val="single"/>
          </w:rPr>
          <w:t xml:space="preserve">https://compliancy-group.com/what-is-a-hipaa-accounting/</w:t>
        </w:r>
      </w:hyperlink>
      <w:r>
        <w:rPr>
          <w:rFonts w:eastAsia="inter" w:cs="inter" w:ascii="inter" w:hAnsi="inter"/>
          <w:color w:val="000000"/>
          <w:sz w:val="18"/>
        </w:rPr>
        <w:t xml:space="preserve"> </w:t>
      </w:r>
    </w:p>
    <w:bookmarkStart w:id="511" w:name="fn163"/>
    <w:bookmarkEnd w:id="511"/>
    <w:p>
      <w:pPr>
        <w:numPr>
          <w:ilvl w:val="0"/>
          <w:numId w:val="55"/>
        </w:numPr>
        <w:spacing w:line="360" w:after="210" w:lineRule="auto"/>
      </w:pPr>
      <w:hyperlink r:id="rId169">
        <w:r>
          <w:rPr>
            <w:rFonts w:eastAsia="inter" w:cs="inter" w:ascii="inter" w:hAnsi="inter"/>
            <w:color w:val="#000"/>
            <w:sz w:val="18"/>
            <w:u w:val="single"/>
          </w:rPr>
          <w:t xml:space="preserve">https://www.brickergraydon.com/insights/resources/key/HIPAA-Privacy-Regulations-Accounting-of-Disclosures-of-Protected-Health-Information-Right-to-an-Accounting-164-528-a</w:t>
        </w:r>
      </w:hyperlink>
      <w:r>
        <w:rPr>
          <w:rFonts w:eastAsia="inter" w:cs="inter" w:ascii="inter" w:hAnsi="inter"/>
          <w:color w:val="000000"/>
          <w:sz w:val="18"/>
        </w:rPr>
        <w:t xml:space="preserve"> </w:t>
      </w:r>
    </w:p>
    <w:bookmarkStart w:id="512" w:name="fn164"/>
    <w:bookmarkEnd w:id="512"/>
    <w:p>
      <w:pPr>
        <w:numPr>
          <w:ilvl w:val="0"/>
          <w:numId w:val="55"/>
        </w:numPr>
        <w:spacing w:line="360" w:after="210" w:lineRule="auto"/>
      </w:pPr>
      <w:hyperlink r:id="rId170">
        <w:r>
          <w:rPr>
            <w:rFonts w:eastAsia="inter" w:cs="inter" w:ascii="inter" w:hAnsi="inter"/>
            <w:color w:val="#000"/>
            <w:sz w:val="18"/>
            <w:u w:val="single"/>
          </w:rPr>
          <w:t xml:space="preserve">https://www.hhs.gov/hipaa/for-professionals/faq/right-to-an-accounting-of-disclosures/index.html</w:t>
        </w:r>
      </w:hyperlink>
      <w:r>
        <w:rPr>
          <w:rFonts w:eastAsia="inter" w:cs="inter" w:ascii="inter" w:hAnsi="inter"/>
          <w:color w:val="000000"/>
          <w:sz w:val="18"/>
        </w:rPr>
        <w:t xml:space="preserve"> </w:t>
      </w:r>
    </w:p>
    <w:bookmarkStart w:id="513" w:name="fn165"/>
    <w:bookmarkEnd w:id="513"/>
    <w:p>
      <w:pPr>
        <w:numPr>
          <w:ilvl w:val="0"/>
          <w:numId w:val="55"/>
        </w:numPr>
        <w:spacing w:line="360" w:after="210" w:lineRule="auto"/>
      </w:pPr>
      <w:hyperlink r:id="rId171">
        <w:r>
          <w:rPr>
            <w:rFonts w:eastAsia="inter" w:cs="inter" w:ascii="inter" w:hAnsi="inter"/>
            <w:color w:val="#000"/>
            <w:sz w:val="18"/>
            <w:u w:val="single"/>
          </w:rPr>
          <w:t xml:space="preserve">https://www.hhs.gov/hipaa/for-professionals/faq/246/do-business-associates-have-obligations/index.html</w:t>
        </w:r>
      </w:hyperlink>
      <w:r>
        <w:rPr>
          <w:rFonts w:eastAsia="inter" w:cs="inter" w:ascii="inter" w:hAnsi="inter"/>
          <w:color w:val="000000"/>
          <w:sz w:val="18"/>
        </w:rPr>
        <w:t xml:space="preserve"> </w:t>
      </w:r>
    </w:p>
    <w:bookmarkStart w:id="514" w:name="fn166"/>
    <w:bookmarkEnd w:id="514"/>
    <w:p>
      <w:pPr>
        <w:numPr>
          <w:ilvl w:val="0"/>
          <w:numId w:val="55"/>
        </w:numPr>
        <w:spacing w:line="360" w:after="210" w:lineRule="auto"/>
      </w:pPr>
      <w:hyperlink r:id="rId172">
        <w:r>
          <w:rPr>
            <w:rFonts w:eastAsia="inter" w:cs="inter" w:ascii="inter" w:hAnsi="inter"/>
            <w:color w:val="#000"/>
            <w:sz w:val="18"/>
            <w:u w:val="single"/>
          </w:rPr>
          <w:t xml:space="preserve">https://hipaa.yale.edu/sites/default/files/files/5003-PR-5003-PR1.pdf</w:t>
        </w:r>
      </w:hyperlink>
      <w:r>
        <w:rPr>
          <w:rFonts w:eastAsia="inter" w:cs="inter" w:ascii="inter" w:hAnsi="inter"/>
          <w:color w:val="000000"/>
          <w:sz w:val="18"/>
        </w:rPr>
        <w:t xml:space="preserve"> </w:t>
      </w:r>
    </w:p>
    <w:bookmarkStart w:id="515" w:name="fn167"/>
    <w:bookmarkEnd w:id="515"/>
    <w:p>
      <w:pPr>
        <w:numPr>
          <w:ilvl w:val="0"/>
          <w:numId w:val="55"/>
        </w:numPr>
        <w:spacing w:line="360" w:after="210" w:lineRule="auto"/>
      </w:pPr>
      <w:hyperlink r:id="rId173">
        <w:r>
          <w:rPr>
            <w:rFonts w:eastAsia="inter" w:cs="inter" w:ascii="inter" w:hAnsi="inter"/>
            <w:color w:val="#000"/>
            <w:sz w:val="18"/>
            <w:u w:val="single"/>
          </w:rPr>
          <w:t xml:space="preserve">https://compliancy-group.com/business-associate-subcontractor-agreement-subcontractor-baa-explained/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16" w:name="fn168"/>
    <w:bookmarkEnd w:id="516"/>
    <w:p>
      <w:pPr>
        <w:numPr>
          <w:ilvl w:val="0"/>
          <w:numId w:val="55"/>
        </w:numPr>
        <w:spacing w:line="360" w:after="210" w:lineRule="auto"/>
      </w:pPr>
      <w:hyperlink r:id="rId174">
        <w:r>
          <w:rPr>
            <w:rFonts w:eastAsia="inter" w:cs="inter" w:ascii="inter" w:hAnsi="inter"/>
            <w:color w:val="#000"/>
            <w:sz w:val="18"/>
            <w:u w:val="single"/>
          </w:rPr>
          <w:t xml:space="preserve">https://www.accesscorp.com/basa/</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17" w:name="fn169"/>
    <w:bookmarkEnd w:id="517"/>
    <w:p>
      <w:pPr>
        <w:numPr>
          <w:ilvl w:val="0"/>
          <w:numId w:val="55"/>
        </w:numPr>
        <w:spacing w:line="360" w:after="210" w:lineRule="auto"/>
      </w:pPr>
      <w:hyperlink r:id="rId175">
        <w:r>
          <w:rPr>
            <w:rFonts w:eastAsia="inter" w:cs="inter" w:ascii="inter" w:hAnsi="inter"/>
            <w:color w:val="#000"/>
            <w:sz w:val="18"/>
            <w:u w:val="single"/>
          </w:rPr>
          <w:t xml:space="preserve">https://www.hipaajournal.com/hipaa-business-associate-agreement/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18" w:name="fn170"/>
    <w:bookmarkEnd w:id="518"/>
    <w:p>
      <w:pPr>
        <w:numPr>
          <w:ilvl w:val="0"/>
          <w:numId w:val="55"/>
        </w:numPr>
        <w:spacing w:line="360" w:after="210" w:lineRule="auto"/>
      </w:pPr>
      <w:hyperlink r:id="rId176">
        <w:r>
          <w:rPr>
            <w:rFonts w:eastAsia="inter" w:cs="inter" w:ascii="inter" w:hAnsi="inter"/>
            <w:color w:val="#000"/>
            <w:sz w:val="18"/>
            <w:u w:val="single"/>
          </w:rPr>
          <w:t xml:space="preserve">https://www.brickergraydon.com/insights/resources/key/hipaa-privacy-regulations-general-rules-for-uses-and-disclosures-of-protected-health-information-disclosures-to-business-associates-164-502-e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19" w:name="fn171"/>
    <w:bookmarkEnd w:id="519"/>
    <w:p>
      <w:pPr>
        <w:numPr>
          <w:ilvl w:val="0"/>
          <w:numId w:val="55"/>
        </w:numPr>
        <w:spacing w:line="360" w:after="210" w:lineRule="auto"/>
      </w:pPr>
      <w:hyperlink r:id="rId177">
        <w:r>
          <w:rPr>
            <w:rFonts w:eastAsia="inter" w:cs="inter" w:ascii="inter" w:hAnsi="inter"/>
            <w:color w:val="#000"/>
            <w:sz w:val="18"/>
            <w:u w:val="single"/>
          </w:rPr>
          <w:t xml:space="preserve">https://mn.gov/dhs/assets/hipaa-buisness-associates_tcm1053-647147.pdf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20" w:name="fn172"/>
    <w:bookmarkEnd w:id="520"/>
    <w:p>
      <w:pPr>
        <w:numPr>
          <w:ilvl w:val="0"/>
          <w:numId w:val="55"/>
        </w:numPr>
        <w:spacing w:line="360" w:after="210" w:lineRule="auto"/>
      </w:pPr>
      <w:hyperlink r:id="rId178">
        <w:r>
          <w:rPr>
            <w:rFonts w:eastAsia="inter" w:cs="inter" w:ascii="inter" w:hAnsi="inter"/>
            <w:color w:val="#000"/>
            <w:sz w:val="18"/>
            <w:u w:val="single"/>
          </w:rPr>
          <w:t xml:space="preserve">https://clearwatersecurity.com/white-papers/hipaa-primer-requirements-for-business-associates/</w:t>
        </w:r>
      </w:hyperlink>
      <w:r>
        <w:rPr>
          <w:rFonts w:eastAsia="inter" w:cs="inter" w:ascii="inter" w:hAnsi="inter"/>
          <w:color w:val="000000"/>
          <w:sz w:val="18"/>
        </w:rPr>
        <w:t xml:space="preserve"> </w:t>
      </w:r>
    </w:p>
    <w:bookmarkStart w:id="521" w:name="fn173"/>
    <w:bookmarkEnd w:id="521"/>
    <w:p>
      <w:pPr>
        <w:numPr>
          <w:ilvl w:val="0"/>
          <w:numId w:val="55"/>
        </w:numPr>
        <w:spacing w:line="360" w:after="210" w:lineRule="auto"/>
      </w:pPr>
      <w:hyperlink r:id="rId179">
        <w:r>
          <w:rPr>
            <w:rFonts w:eastAsia="inter" w:cs="inter" w:ascii="inter" w:hAnsi="inter"/>
            <w:color w:val="#000"/>
            <w:sz w:val="18"/>
            <w:u w:val="single"/>
          </w:rPr>
          <w:t xml:space="preserve">https://www.hipaajournal.com/hipaa-disclosure-accounting/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22" w:name="fn174"/>
    <w:bookmarkEnd w:id="522"/>
    <w:p>
      <w:pPr>
        <w:numPr>
          <w:ilvl w:val="0"/>
          <w:numId w:val="55"/>
        </w:numPr>
        <w:spacing w:line="360" w:after="210" w:lineRule="auto"/>
      </w:pPr>
      <w:hyperlink r:id="rId180">
        <w:r>
          <w:rPr>
            <w:rFonts w:eastAsia="inter" w:cs="inter" w:ascii="inter" w:hAnsi="inter"/>
            <w:color w:val="#000"/>
            <w:sz w:val="18"/>
            <w:u w:val="single"/>
          </w:rPr>
          <w:t xml:space="preserve">https://www.law.cornell.edu/cfr/text/45/164.528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23" w:name="fn175"/>
    <w:bookmarkEnd w:id="523"/>
    <w:p>
      <w:pPr>
        <w:numPr>
          <w:ilvl w:val="0"/>
          <w:numId w:val="55"/>
        </w:numPr>
        <w:spacing w:line="360" w:after="210" w:lineRule="auto"/>
      </w:pPr>
      <w:hyperlink r:id="rId181">
        <w:r>
          <w:rPr>
            <w:rFonts w:eastAsia="inter" w:cs="inter" w:ascii="inter" w:hAnsi="inter"/>
            <w:color w:val="#000"/>
            <w:sz w:val="18"/>
            <w:u w:val="single"/>
          </w:rPr>
          <w:t xml:space="preserve">https://www.hipaajournal.com/hipaa-compliance-for-business-associates/</w:t>
        </w:r>
      </w:hyperlink>
      <w:r>
        <w:rPr>
          <w:rFonts w:eastAsia="inter" w:cs="inter" w:ascii="inter" w:hAnsi="inter"/>
          <w:color w:val="000000"/>
          <w:sz w:val="18"/>
        </w:rPr>
        <w:t xml:space="preserve"> </w:t>
      </w:r>
    </w:p>
    <w:bookmarkStart w:id="524" w:name="fn176"/>
    <w:bookmarkEnd w:id="524"/>
    <w:p>
      <w:pPr>
        <w:numPr>
          <w:ilvl w:val="0"/>
          <w:numId w:val="55"/>
        </w:numPr>
        <w:spacing w:line="360" w:after="210" w:lineRule="auto"/>
      </w:pPr>
      <w:hyperlink r:id="rId182">
        <w:r>
          <w:rPr>
            <w:rFonts w:eastAsia="inter" w:cs="inter" w:ascii="inter" w:hAnsi="inter"/>
            <w:color w:val="#000"/>
            <w:sz w:val="18"/>
            <w:u w:val="single"/>
          </w:rPr>
          <w:t xml:space="preserve">https://www.hhs.gov/hipaa/for-professionals/covered-entities/sample-business-associate-agreement-provisions/index.html</w:t>
        </w:r>
      </w:hyperlink>
      <w:r>
        <w:rPr>
          <w:rFonts w:eastAsia="inter" w:cs="inter" w:ascii="inter" w:hAnsi="inter"/>
          <w:color w:val="000000"/>
          <w:sz w:val="18"/>
        </w:rPr>
        <w:t xml:space="preserve"> </w:t>
      </w:r>
    </w:p>
    <w:bookmarkStart w:id="525" w:name="fn177"/>
    <w:bookmarkEnd w:id="525"/>
    <w:p>
      <w:pPr>
        <w:numPr>
          <w:ilvl w:val="0"/>
          <w:numId w:val="55"/>
        </w:numPr>
        <w:spacing w:line="360" w:after="210" w:lineRule="auto"/>
      </w:pPr>
      <w:hyperlink r:id="rId183">
        <w:r>
          <w:rPr>
            <w:rFonts w:eastAsia="inter" w:cs="inter" w:ascii="inter" w:hAnsi="inter"/>
            <w:color w:val="#000"/>
            <w:sz w:val="18"/>
            <w:u w:val="single"/>
          </w:rPr>
          <w:t xml:space="preserve">https://www.hollandhart.com/avoiding-business-associate-agreements</w:t>
        </w:r>
      </w:hyperlink>
      <w:r>
        <w:rPr>
          <w:rFonts w:eastAsia="inter" w:cs="inter" w:ascii="inter" w:hAnsi="inter"/>
          <w:color w:val="000000"/>
          <w:sz w:val="18"/>
        </w:rPr>
        <w:t xml:space="preserve"> </w:t>
      </w:r>
    </w:p>
    <w:bookmarkStart w:id="526" w:name="fn178"/>
    <w:bookmarkEnd w:id="526"/>
    <w:p>
      <w:pPr>
        <w:numPr>
          <w:ilvl w:val="0"/>
          <w:numId w:val="55"/>
        </w:numPr>
        <w:spacing w:line="360" w:after="210" w:lineRule="auto"/>
      </w:pPr>
      <w:hyperlink r:id="rId184">
        <w:r>
          <w:rPr>
            <w:rFonts w:eastAsia="inter" w:cs="inter" w:ascii="inter" w:hAnsi="inter"/>
            <w:color w:val="#000"/>
            <w:sz w:val="18"/>
            <w:u w:val="single"/>
          </w:rPr>
          <w:t xml:space="preserve">https://www.hhs.gov/hipaa/for-professionals/privacy/guidance/business-associates/index.html</w:t>
        </w:r>
      </w:hyperlink>
      <w:r>
        <w:rPr>
          <w:rFonts w:eastAsia="inter" w:cs="inter" w:ascii="inter" w:hAnsi="inter"/>
          <w:color w:val="000000"/>
          <w:sz w:val="18"/>
        </w:rPr>
        <w:t xml:space="preserve"> </w:t>
      </w:r>
    </w:p>
    <w:bookmarkStart w:id="527" w:name="fn179"/>
    <w:bookmarkEnd w:id="527"/>
    <w:p>
      <w:pPr>
        <w:numPr>
          <w:ilvl w:val="0"/>
          <w:numId w:val="55"/>
        </w:numPr>
        <w:spacing w:line="360" w:after="210" w:lineRule="auto"/>
      </w:pPr>
      <w:hyperlink r:id="rId185">
        <w:r>
          <w:rPr>
            <w:rFonts w:eastAsia="inter" w:cs="inter" w:ascii="inter" w:hAnsi="inter"/>
            <w:color w:val="#000"/>
            <w:sz w:val="18"/>
            <w:u w:val="single"/>
          </w:rPr>
          <w:t xml:space="preserve">https://www.hhs.gov/hipaa/for-professionals/faq/246/do-business-associates-have-obligations/index.html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28" w:name="fn180"/>
    <w:bookmarkEnd w:id="528"/>
    <w:p>
      <w:pPr>
        <w:numPr>
          <w:ilvl w:val="0"/>
          <w:numId w:val="55"/>
        </w:numPr>
        <w:spacing w:line="360" w:after="210" w:lineRule="auto"/>
      </w:pPr>
      <w:hyperlink r:id="rId186">
        <w:r>
          <w:rPr>
            <w:rFonts w:eastAsia="inter" w:cs="inter" w:ascii="inter" w:hAnsi="inter"/>
            <w:color w:val="#000"/>
            <w:sz w:val="18"/>
            <w:u w:val="single"/>
          </w:rPr>
          <w:t xml:space="preserve">https://www.hipaajournal.com/hipaa-disclosure-accounting/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29" w:name="fn181"/>
    <w:bookmarkEnd w:id="529"/>
    <w:p>
      <w:pPr>
        <w:numPr>
          <w:ilvl w:val="0"/>
          <w:numId w:val="55"/>
        </w:numPr>
        <w:spacing w:line="360" w:after="210" w:lineRule="auto"/>
      </w:pPr>
      <w:hyperlink r:id="rId187">
        <w:r>
          <w:rPr>
            <w:rFonts w:eastAsia="inter" w:cs="inter" w:ascii="inter" w:hAnsi="inter"/>
            <w:color w:val="#000"/>
            <w:sz w:val="18"/>
            <w:u w:val="single"/>
          </w:rPr>
          <w:t xml:space="preserve">https://www.brickergraydon.com/insights/resources/key/HIPAA-Privacy-Regulations-Accounting-of-Disclosures-of-Protected-Health-Information-Content-of-the-Accounting-164-528-b</w:t>
        </w:r>
      </w:hyperlink>
      <w:r>
        <w:rPr>
          <w:rFonts w:eastAsia="inter" w:cs="inter" w:ascii="inter" w:hAnsi="inter"/>
          <w:color w:val="000000"/>
          <w:sz w:val="18"/>
        </w:rPr>
        <w:t xml:space="preserve"> </w:t>
      </w:r>
    </w:p>
    <w:bookmarkStart w:id="530" w:name="fn182"/>
    <w:bookmarkEnd w:id="530"/>
    <w:p>
      <w:pPr>
        <w:numPr>
          <w:ilvl w:val="0"/>
          <w:numId w:val="55"/>
        </w:numPr>
        <w:spacing w:line="360" w:after="210" w:lineRule="auto"/>
      </w:pPr>
      <w:hyperlink r:id="rId188">
        <w:r>
          <w:rPr>
            <w:rFonts w:eastAsia="inter" w:cs="inter" w:ascii="inter" w:hAnsi="inter"/>
            <w:color w:val="#000"/>
            <w:sz w:val="18"/>
            <w:u w:val="single"/>
          </w:rPr>
          <w:t xml:space="preserve">https://www.face2gene.com/business-associate-addendum/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31" w:name="fn183"/>
    <w:bookmarkEnd w:id="531"/>
    <w:p>
      <w:pPr>
        <w:numPr>
          <w:ilvl w:val="0"/>
          <w:numId w:val="55"/>
        </w:numPr>
        <w:spacing w:line="360" w:after="210" w:lineRule="auto"/>
      </w:pPr>
      <w:hyperlink r:id="rId189">
        <w:r>
          <w:rPr>
            <w:rFonts w:eastAsia="inter" w:cs="inter" w:ascii="inter" w:hAnsi="inter"/>
            <w:color w:val="#000"/>
            <w:sz w:val="18"/>
            <w:u w:val="single"/>
          </w:rPr>
          <w:t xml:space="preserve">https://www.hhs.gov/hipaa/for-professionals/covered-entities/sample-business-associate-agreement-provisions/index.html</w:t>
        </w:r>
      </w:hyperlink>
      <w:r>
        <w:rPr>
          <w:rFonts w:eastAsia="inter" w:cs="inter" w:ascii="inter" w:hAnsi="inter"/>
          <w:color w:val="000000"/>
          <w:sz w:val="18"/>
        </w:rPr>
        <w:t xml:space="preserve"> </w:t>
      </w:r>
    </w:p>
    <w:bookmarkStart w:id="532" w:name="fn184"/>
    <w:bookmarkEnd w:id="532"/>
    <w:p>
      <w:pPr>
        <w:numPr>
          <w:ilvl w:val="0"/>
          <w:numId w:val="55"/>
        </w:numPr>
        <w:spacing w:line="360" w:after="210" w:lineRule="auto"/>
      </w:pPr>
      <w:hyperlink r:id="rId190">
        <w:r>
          <w:rPr>
            <w:rFonts w:eastAsia="inter" w:cs="inter" w:ascii="inter" w:hAnsi="inter"/>
            <w:color w:val="#000"/>
            <w:sz w:val="18"/>
            <w:u w:val="single"/>
          </w:rPr>
          <w:t xml:space="preserve">https://www.hipaajournal.com/hipaa-business-associate-agreement/</w:t>
        </w:r>
      </w:hyperlink>
      <w:r>
        <w:rPr>
          <w:rFonts w:eastAsia="inter" w:cs="inter" w:ascii="inter" w:hAnsi="inter"/>
          <w:color w:val="000000"/>
          <w:sz w:val="18"/>
        </w:rPr>
        <w:t xml:space="preserve"> </w:t>
      </w:r>
    </w:p>
    <w:bookmarkStart w:id="533" w:name="fn185"/>
    <w:bookmarkEnd w:id="533"/>
    <w:p>
      <w:pPr>
        <w:numPr>
          <w:ilvl w:val="0"/>
          <w:numId w:val="55"/>
        </w:numPr>
        <w:spacing w:line="360" w:after="210" w:lineRule="auto"/>
      </w:pPr>
      <w:hyperlink r:id="rId191">
        <w:r>
          <w:rPr>
            <w:rFonts w:eastAsia="inter" w:cs="inter" w:ascii="inter" w:hAnsi="inter"/>
            <w:color w:val="#000"/>
            <w:sz w:val="18"/>
            <w:u w:val="single"/>
          </w:rPr>
          <w:t xml:space="preserve">https://compliancy-group.com/business-associate-subcontractor-agreement-subcontractor-baa-explained/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34" w:name="fn186"/>
    <w:bookmarkEnd w:id="534"/>
    <w:p>
      <w:pPr>
        <w:numPr>
          <w:ilvl w:val="0"/>
          <w:numId w:val="55"/>
        </w:numPr>
        <w:spacing w:line="360" w:after="210" w:lineRule="auto"/>
      </w:pPr>
      <w:hyperlink r:id="rId192">
        <w:r>
          <w:rPr>
            <w:rFonts w:eastAsia="inter" w:cs="inter" w:ascii="inter" w:hAnsi="inter"/>
            <w:color w:val="#000"/>
            <w:sz w:val="18"/>
            <w:u w:val="single"/>
          </w:rPr>
          <w:t xml:space="preserve">https://partner.medica.com/providers/medica-administrative-manual/provider-responsibilities/hipaa-business-associate-requirements-for-providers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35" w:name="fn187"/>
    <w:bookmarkEnd w:id="535"/>
    <w:p>
      <w:pPr>
        <w:numPr>
          <w:ilvl w:val="0"/>
          <w:numId w:val="55"/>
        </w:numPr>
        <w:spacing w:line="360" w:after="210" w:lineRule="auto"/>
      </w:pPr>
      <w:hyperlink r:id="rId193">
        <w:r>
          <w:rPr>
            <w:rFonts w:eastAsia="inter" w:cs="inter" w:ascii="inter" w:hAnsi="inter"/>
            <w:color w:val="#000"/>
            <w:sz w:val="18"/>
            <w:u w:val="single"/>
          </w:rPr>
          <w:t xml:space="preserve">https://clearwatersecurity.com/white-papers/hipaa-primer-requirements-for-business-associates/</w:t>
        </w:r>
      </w:hyperlink>
      <w:r>
        <w:rPr>
          <w:rFonts w:eastAsia="inter" w:cs="inter" w:ascii="inter" w:hAnsi="inter"/>
          <w:color w:val="000000"/>
          <w:sz w:val="18"/>
        </w:rPr>
        <w:t xml:space="preserve"> </w:t>
      </w:r>
    </w:p>
    <w:bookmarkStart w:id="536" w:name="fn188"/>
    <w:bookmarkEnd w:id="536"/>
    <w:p>
      <w:pPr>
        <w:numPr>
          <w:ilvl w:val="0"/>
          <w:numId w:val="55"/>
        </w:numPr>
        <w:spacing w:line="360" w:after="210" w:lineRule="auto"/>
      </w:pPr>
      <w:hyperlink r:id="rId194">
        <w:r>
          <w:rPr>
            <w:rFonts w:eastAsia="inter" w:cs="inter" w:ascii="inter" w:hAnsi="inter"/>
            <w:color w:val="#000"/>
            <w:sz w:val="18"/>
            <w:u w:val="single"/>
          </w:rPr>
          <w:t xml:space="preserve">https://www.precisepk.com/business-associate-agreement</w:t>
        </w:r>
      </w:hyperlink>
      <w:r>
        <w:rPr>
          <w:rFonts w:eastAsia="inter" w:cs="inter" w:ascii="inter" w:hAnsi="inter"/>
          <w:color w:val="000000"/>
          <w:sz w:val="18"/>
        </w:rPr>
        <w:t xml:space="preserve"> </w:t>
      </w:r>
    </w:p>
    <w:bookmarkStart w:id="537" w:name="fn189"/>
    <w:bookmarkEnd w:id="537"/>
    <w:p>
      <w:pPr>
        <w:numPr>
          <w:ilvl w:val="0"/>
          <w:numId w:val="55"/>
        </w:numPr>
        <w:spacing w:line="360" w:after="210" w:lineRule="auto"/>
      </w:pPr>
      <w:hyperlink r:id="rId195">
        <w:r>
          <w:rPr>
            <w:rFonts w:eastAsia="inter" w:cs="inter" w:ascii="inter" w:hAnsi="inter"/>
            <w:color w:val="#000"/>
            <w:sz w:val="18"/>
            <w:u w:val="single"/>
          </w:rPr>
          <w:t xml:space="preserve">https://www.hollandhart.com/business-associate-agreements-requirements-and-suggestions</w:t>
        </w:r>
      </w:hyperlink>
      <w:r>
        <w:rPr>
          <w:rFonts w:eastAsia="inter" w:cs="inter" w:ascii="inter" w:hAnsi="inter"/>
          <w:color w:val="000000"/>
          <w:sz w:val="18"/>
        </w:rPr>
        <w:t xml:space="preserve"> </w:t>
      </w:r>
    </w:p>
    <w:bookmarkStart w:id="538" w:name="fn190"/>
    <w:bookmarkEnd w:id="538"/>
    <w:p>
      <w:pPr>
        <w:numPr>
          <w:ilvl w:val="0"/>
          <w:numId w:val="55"/>
        </w:numPr>
        <w:spacing w:line="360" w:after="210" w:lineRule="auto"/>
      </w:pPr>
      <w:hyperlink r:id="rId196">
        <w:r>
          <w:rPr>
            <w:rFonts w:eastAsia="inter" w:cs="inter" w:ascii="inter" w:hAnsi="inter"/>
            <w:color w:val="#000"/>
            <w:sz w:val="18"/>
            <w:u w:val="single"/>
          </w:rPr>
          <w:t xml:space="preserve">https://www.law.cornell.edu/cfr/text/45/164.528</w:t>
        </w:r>
      </w:hyperlink>
      <w:r>
        <w:rPr>
          <w:rFonts w:eastAsia="inter" w:cs="inter" w:ascii="inter" w:hAnsi="inter"/>
          <w:color w:val="000000"/>
          <w:sz w:val="18"/>
        </w:rPr>
        <w:t xml:space="preserve"> </w:t>
      </w:r>
    </w:p>
    <w:bookmarkStart w:id="539" w:name="fn191"/>
    <w:bookmarkEnd w:id="539"/>
    <w:p>
      <w:pPr>
        <w:numPr>
          <w:ilvl w:val="0"/>
          <w:numId w:val="55"/>
        </w:numPr>
        <w:spacing w:line="360" w:after="210" w:lineRule="auto"/>
      </w:pPr>
      <w:hyperlink r:id="rId197">
        <w:r>
          <w:rPr>
            <w:rFonts w:eastAsia="inter" w:cs="inter" w:ascii="inter" w:hAnsi="inter"/>
            <w:color w:val="#000"/>
            <w:sz w:val="18"/>
            <w:u w:val="single"/>
          </w:rPr>
          <w:t xml:space="preserve">https://www.hhs.gov/hipaa/for-professionals/faq/right-to-an-accounting-of-disclosures/index.html</w:t>
        </w:r>
      </w:hyperlink>
      <w:r>
        <w:rPr>
          <w:rFonts w:eastAsia="inter" w:cs="inter" w:ascii="inter" w:hAnsi="inter"/>
          <w:color w:val="000000"/>
          <w:sz w:val="18"/>
        </w:rPr>
        <w:t xml:space="preserve"> </w:t>
      </w:r>
    </w:p>
    <w:bookmarkStart w:id="540" w:name="fn192"/>
    <w:bookmarkEnd w:id="540"/>
    <w:p>
      <w:pPr>
        <w:numPr>
          <w:ilvl w:val="0"/>
          <w:numId w:val="55"/>
        </w:numPr>
        <w:spacing w:line="360" w:after="210" w:lineRule="auto"/>
      </w:pPr>
      <w:hyperlink r:id="rId198">
        <w:r>
          <w:rPr>
            <w:rFonts w:eastAsia="inter" w:cs="inter" w:ascii="inter" w:hAnsi="inter"/>
            <w:color w:val="#000"/>
            <w:sz w:val="18"/>
            <w:u w:val="single"/>
          </w:rPr>
          <w:t xml:space="preserve">https://www.hipaajournal.com/hipaa-compliance-for-business-associates/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41" w:name="fn193"/>
    <w:bookmarkEnd w:id="541"/>
    <w:p>
      <w:pPr>
        <w:numPr>
          <w:ilvl w:val="0"/>
          <w:numId w:val="55"/>
        </w:numPr>
        <w:spacing w:line="360" w:after="210" w:lineRule="auto"/>
      </w:pPr>
      <w:hyperlink r:id="rId199">
        <w:r>
          <w:rPr>
            <w:rFonts w:eastAsia="inter" w:cs="inter" w:ascii="inter" w:hAnsi="inter"/>
            <w:color w:val="#000"/>
            <w:sz w:val="18"/>
            <w:u w:val="single"/>
          </w:rPr>
          <w:t xml:space="preserve">https://www.brickergraydon.com/insights/resources/key/HIPAA-Privacy-Regulations-Accounting-of-Disclosures-of-Protected-Health-Information-Right-to-an-Accounting-164-528-a</w:t>
        </w:r>
      </w:hyperlink>
      <w:r>
        <w:rPr>
          <w:rFonts w:eastAsia="inter" w:cs="inter" w:ascii="inter" w:hAnsi="inter"/>
          <w:color w:val="000000"/>
          <w:sz w:val="18"/>
        </w:rPr>
        <w:t xml:space="preserve"> </w:t>
      </w:r>
    </w:p>
    <w:bookmarkStart w:id="542" w:name="fn194"/>
    <w:bookmarkEnd w:id="542"/>
    <w:p>
      <w:pPr>
        <w:numPr>
          <w:ilvl w:val="0"/>
          <w:numId w:val="55"/>
        </w:numPr>
        <w:spacing w:line="360" w:after="210" w:lineRule="auto"/>
      </w:pPr>
      <w:hyperlink r:id="rId200">
        <w:r>
          <w:rPr>
            <w:rFonts w:eastAsia="inter" w:cs="inter" w:ascii="inter" w:hAnsi="inter"/>
            <w:color w:val="#000"/>
            <w:sz w:val="18"/>
            <w:u w:val="single"/>
          </w:rPr>
          <w:t xml:space="preserve">https://www.hipaajournal.com/hipaa-disclosure-accounting/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43" w:name="fn195"/>
    <w:bookmarkEnd w:id="543"/>
    <w:p>
      <w:pPr>
        <w:numPr>
          <w:ilvl w:val="0"/>
          <w:numId w:val="55"/>
        </w:numPr>
        <w:spacing w:line="360" w:after="210" w:lineRule="auto"/>
      </w:pPr>
      <w:hyperlink r:id="rId201">
        <w:r>
          <w:rPr>
            <w:rFonts w:eastAsia="inter" w:cs="inter" w:ascii="inter" w:hAnsi="inter"/>
            <w:color w:val="#000"/>
            <w:sz w:val="18"/>
            <w:u w:val="single"/>
          </w:rPr>
          <w:t xml:space="preserve">https://www.hollandhart.com/business-associate-agreements-requirements-and-suggestions</w:t>
        </w:r>
      </w:hyperlink>
      <w:r>
        <w:rPr>
          <w:rFonts w:eastAsia="inter" w:cs="inter" w:ascii="inter" w:hAnsi="inter"/>
          <w:color w:val="000000"/>
          <w:sz w:val="18"/>
        </w:rPr>
        <w:t xml:space="preserve"> </w:t>
      </w:r>
    </w:p>
    <w:bookmarkStart w:id="544" w:name="fn196"/>
    <w:bookmarkEnd w:id="544"/>
    <w:p>
      <w:pPr>
        <w:numPr>
          <w:ilvl w:val="0"/>
          <w:numId w:val="55"/>
        </w:numPr>
        <w:spacing w:line="360" w:after="210" w:lineRule="auto"/>
      </w:pPr>
      <w:hyperlink r:id="rId202">
        <w:r>
          <w:rPr>
            <w:rFonts w:eastAsia="inter" w:cs="inter" w:ascii="inter" w:hAnsi="inter"/>
            <w:color w:val="#000"/>
            <w:sz w:val="18"/>
            <w:u w:val="single"/>
          </w:rPr>
          <w:t xml:space="preserve">https://www.hipaajournal.com/hipaa-business-associate-agreement/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45" w:name="fn197"/>
    <w:bookmarkEnd w:id="545"/>
    <w:p>
      <w:pPr>
        <w:numPr>
          <w:ilvl w:val="0"/>
          <w:numId w:val="55"/>
        </w:numPr>
        <w:spacing w:line="360" w:after="210" w:lineRule="auto"/>
      </w:pPr>
      <w:hyperlink r:id="rId203">
        <w:r>
          <w:rPr>
            <w:rFonts w:eastAsia="inter" w:cs="inter" w:ascii="inter" w:hAnsi="inter"/>
            <w:color w:val="#000"/>
            <w:sz w:val="18"/>
            <w:u w:val="single"/>
          </w:rPr>
          <w:t xml:space="preserve">https://www.face2gene.com/business-associate-addendum/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46" w:name="fn198"/>
    <w:bookmarkEnd w:id="546"/>
    <w:p>
      <w:pPr>
        <w:numPr>
          <w:ilvl w:val="0"/>
          <w:numId w:val="55"/>
        </w:numPr>
        <w:spacing w:line="360" w:after="210" w:lineRule="auto"/>
      </w:pPr>
      <w:hyperlink r:id="rId204">
        <w:r>
          <w:rPr>
            <w:rFonts w:eastAsia="inter" w:cs="inter" w:ascii="inter" w:hAnsi="inter"/>
            <w:color w:val="#000"/>
            <w:sz w:val="18"/>
            <w:u w:val="single"/>
          </w:rPr>
          <w:t xml:space="preserve">https://compliancy-group.com/business-associate-subcontractor-agreement-subcontractor-baa-explained/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47" w:name="fn199"/>
    <w:bookmarkEnd w:id="547"/>
    <w:p>
      <w:pPr>
        <w:numPr>
          <w:ilvl w:val="0"/>
          <w:numId w:val="55"/>
        </w:numPr>
        <w:spacing w:line="360" w:after="210" w:lineRule="auto"/>
      </w:pPr>
      <w:hyperlink r:id="rId205">
        <w:r>
          <w:rPr>
            <w:rFonts w:eastAsia="inter" w:cs="inter" w:ascii="inter" w:hAnsi="inter"/>
            <w:color w:val="#000"/>
            <w:sz w:val="18"/>
            <w:u w:val="single"/>
          </w:rPr>
          <w:t xml:space="preserve">https://www.accesscorp.com/basa/</w:t>
        </w:r>
      </w:hyperlink>
      <w:r>
        <w:rPr>
          <w:rFonts w:eastAsia="inter" w:cs="inter" w:ascii="inter" w:hAnsi="inter"/>
          <w:color w:val="000000"/>
          <w:sz w:val="18"/>
        </w:rPr>
        <w:t xml:space="preserve"> </w:t>
      </w:r>
    </w:p>
    <w:bookmarkStart w:id="548" w:name="fn200"/>
    <w:bookmarkEnd w:id="548"/>
    <w:p>
      <w:pPr>
        <w:numPr>
          <w:ilvl w:val="0"/>
          <w:numId w:val="55"/>
        </w:numPr>
        <w:spacing w:line="360" w:after="210" w:lineRule="auto"/>
      </w:pPr>
      <w:hyperlink r:id="rId206">
        <w:r>
          <w:rPr>
            <w:rFonts w:eastAsia="inter" w:cs="inter" w:ascii="inter" w:hAnsi="inter"/>
            <w:color w:val="#000"/>
            <w:sz w:val="18"/>
            <w:u w:val="single"/>
          </w:rPr>
          <w:t xml:space="preserve">https://clearwatersecurity.com/white-papers/hipaa-primer-requirements-for-business-associates/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49" w:name="fn201"/>
    <w:bookmarkEnd w:id="549"/>
    <w:p>
      <w:pPr>
        <w:numPr>
          <w:ilvl w:val="0"/>
          <w:numId w:val="55"/>
        </w:numPr>
        <w:spacing w:line="360" w:after="210" w:lineRule="auto"/>
      </w:pPr>
      <w:hyperlink r:id="rId207">
        <w:r>
          <w:rPr>
            <w:rFonts w:eastAsia="inter" w:cs="inter" w:ascii="inter" w:hAnsi="inter"/>
            <w:color w:val="#000"/>
            <w:sz w:val="18"/>
            <w:u w:val="single"/>
          </w:rPr>
          <w:t xml:space="preserve">https://partner.medica.com/providers/medica-administrative-manual/provider-responsibilities/hipaa-business-associate-requirements-for-providers</w:t>
        </w:r>
      </w:hyperlink>
      <w:r>
        <w:rPr>
          <w:rFonts w:eastAsia="inter" w:cs="inter" w:ascii="inter" w:hAnsi="inter"/>
          <w:color w:val="000000"/>
          <w:sz w:val="18"/>
        </w:rPr>
        <w:t xml:space="preserve"> </w:t>
      </w:r>
    </w:p>
    <w:bookmarkStart w:id="550" w:name="fn202"/>
    <w:bookmarkEnd w:id="550"/>
    <w:p>
      <w:pPr>
        <w:numPr>
          <w:ilvl w:val="0"/>
          <w:numId w:val="55"/>
        </w:numPr>
        <w:spacing w:line="360" w:after="210" w:lineRule="auto"/>
      </w:pPr>
      <w:hyperlink r:id="rId208">
        <w:r>
          <w:rPr>
            <w:rFonts w:eastAsia="inter" w:cs="inter" w:ascii="inter" w:hAnsi="inter"/>
            <w:color w:val="#000"/>
            <w:sz w:val="18"/>
            <w:u w:val="single"/>
          </w:rPr>
          <w:t xml:space="preserve">https://www.law.cornell.edu/cfr/text/45/164.528</w:t>
        </w:r>
      </w:hyperlink>
      <w:r>
        <w:rPr>
          <w:rFonts w:eastAsia="inter" w:cs="inter" w:ascii="inter" w:hAnsi="inter"/>
          <w:color w:val="000000"/>
          <w:sz w:val="18"/>
        </w:rPr>
        <w:t xml:space="preserve"> </w:t>
      </w:r>
    </w:p>
    <w:bookmarkStart w:id="551" w:name="fn203"/>
    <w:bookmarkEnd w:id="551"/>
    <w:p>
      <w:pPr>
        <w:numPr>
          <w:ilvl w:val="0"/>
          <w:numId w:val="55"/>
        </w:numPr>
        <w:spacing w:line="360" w:after="210" w:lineRule="auto"/>
      </w:pPr>
      <w:hyperlink r:id="rId209">
        <w:r>
          <w:rPr>
            <w:rFonts w:eastAsia="inter" w:cs="inter" w:ascii="inter" w:hAnsi="inter"/>
            <w:color w:val="#000"/>
            <w:sz w:val="18"/>
            <w:u w:val="single"/>
          </w:rPr>
          <w:t xml:space="preserve">https://www.hollandhart.com/business-associates-use-of-information-for-their-own-purposes</w:t>
        </w:r>
      </w:hyperlink>
      <w:r>
        <w:rPr>
          <w:rFonts w:eastAsia="inter" w:cs="inter" w:ascii="inter" w:hAnsi="inter"/>
          <w:color w:val="000000"/>
          <w:sz w:val="18"/>
        </w:rPr>
        <w:t xml:space="preserve"> </w:t>
      </w:r>
    </w:p>
    <w:bookmarkStart w:id="552" w:name="fn204"/>
    <w:bookmarkEnd w:id="552"/>
    <w:p>
      <w:pPr>
        <w:numPr>
          <w:ilvl w:val="0"/>
          <w:numId w:val="55"/>
        </w:numPr>
        <w:spacing w:line="360" w:after="210" w:lineRule="auto"/>
      </w:pPr>
      <w:hyperlink r:id="rId210">
        <w:r>
          <w:rPr>
            <w:rFonts w:eastAsia="inter" w:cs="inter" w:ascii="inter" w:hAnsi="inter"/>
            <w:color w:val="#000"/>
            <w:sz w:val="18"/>
            <w:u w:val="single"/>
          </w:rPr>
          <w:t xml:space="preserve">https://pearlhealth.com/policies/baa/</w:t>
        </w:r>
      </w:hyperlink>
      <w:r>
        <w:rPr>
          <w:rFonts w:eastAsia="inter" w:cs="inter" w:ascii="inter" w:hAnsi="inter"/>
          <w:color w:val="000000"/>
          <w:sz w:val="18"/>
        </w:rPr>
        <w:t xml:space="preserve"> </w:t>
      </w:r>
    </w:p>
    <w:bookmarkStart w:id="553" w:name="fn205"/>
    <w:bookmarkEnd w:id="553"/>
    <w:p>
      <w:pPr>
        <w:numPr>
          <w:ilvl w:val="0"/>
          <w:numId w:val="55"/>
        </w:numPr>
        <w:spacing w:line="360" w:after="210" w:lineRule="auto"/>
      </w:pPr>
      <w:hyperlink r:id="rId211">
        <w:r>
          <w:rPr>
            <w:rFonts w:eastAsia="inter" w:cs="inter" w:ascii="inter" w:hAnsi="inter"/>
            <w:color w:val="#000"/>
            <w:sz w:val="18"/>
            <w:u w:val="single"/>
          </w:rPr>
          <w:t xml:space="preserve">https://www.hhs.gov/hipaa/for-professionals/privacy/guidance/business-associates/index.html</w:t>
        </w:r>
      </w:hyperlink>
      <w:r>
        <w:rPr>
          <w:rFonts w:eastAsia="inter" w:cs="inter" w:ascii="inter" w:hAnsi="inter"/>
          <w:color w:val="000000"/>
          <w:sz w:val="18"/>
        </w:rPr>
        <w:t xml:space="preserve"> </w:t>
      </w:r>
    </w:p>
    <w:bookmarkStart w:id="554" w:name="fn206"/>
    <w:bookmarkEnd w:id="554"/>
    <w:p>
      <w:pPr>
        <w:numPr>
          <w:ilvl w:val="0"/>
          <w:numId w:val="55"/>
        </w:numPr>
        <w:spacing w:line="360" w:after="210" w:lineRule="auto"/>
      </w:pPr>
      <w:hyperlink r:id="rId212">
        <w:r>
          <w:rPr>
            <w:rFonts w:eastAsia="inter" w:cs="inter" w:ascii="inter" w:hAnsi="inter"/>
            <w:color w:val="#000"/>
            <w:sz w:val="18"/>
            <w:u w:val="single"/>
          </w:rPr>
          <w:t xml:space="preserve">https://www.hhs.gov/hipaa/for-professionals/faq/246/do-business-associates-have-obligations/index.html</w:t>
        </w:r>
      </w:hyperlink>
      <w:r>
        <w:rPr>
          <w:rFonts w:eastAsia="inter" w:cs="inter" w:ascii="inter" w:hAnsi="inter"/>
          <w:color w:val="000000"/>
          <w:sz w:val="18"/>
        </w:rPr>
        <w:t xml:space="preserve"> </w:t>
      </w:r>
    </w:p>
    <w:bookmarkStart w:id="555" w:name="fn207"/>
    <w:bookmarkEnd w:id="555"/>
    <w:p>
      <w:pPr>
        <w:numPr>
          <w:ilvl w:val="0"/>
          <w:numId w:val="55"/>
        </w:numPr>
        <w:spacing w:line="360" w:after="210" w:lineRule="auto"/>
      </w:pPr>
      <w:hyperlink r:id="rId213">
        <w:r>
          <w:rPr>
            <w:rFonts w:eastAsia="inter" w:cs="inter" w:ascii="inter" w:hAnsi="inter"/>
            <w:color w:val="#000"/>
            <w:sz w:val="18"/>
            <w:u w:val="single"/>
          </w:rPr>
          <w:t xml:space="preserve">https://www.hhs.gov/hipaa/for-professionals/faq/right-to-an-accounting-of-disclosures/index.html</w:t>
        </w:r>
      </w:hyperlink>
      <w:r>
        <w:rPr>
          <w:rFonts w:eastAsia="inter" w:cs="inter" w:ascii="inter" w:hAnsi="inter"/>
          <w:color w:val="000000"/>
          <w:sz w:val="18"/>
        </w:rPr>
        <w:t xml:space="preserve"> </w:t>
      </w:r>
    </w:p>
    <w:bookmarkStart w:id="556" w:name="fn208"/>
    <w:bookmarkEnd w:id="556"/>
    <w:p>
      <w:pPr>
        <w:numPr>
          <w:ilvl w:val="0"/>
          <w:numId w:val="55"/>
        </w:numPr>
        <w:spacing w:line="360" w:after="210" w:lineRule="auto"/>
      </w:pPr>
      <w:hyperlink r:id="rId214">
        <w:r>
          <w:rPr>
            <w:rFonts w:eastAsia="inter" w:cs="inter" w:ascii="inter" w:hAnsi="inter"/>
            <w:color w:val="#000"/>
            <w:sz w:val="18"/>
            <w:u w:val="single"/>
          </w:rPr>
          <w:t xml:space="preserve">https://www.hipaajournal.com/hipaa-compliance-for-business-associates/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57" w:name="fn209"/>
    <w:bookmarkEnd w:id="557"/>
    <w:p>
      <w:pPr>
        <w:numPr>
          <w:ilvl w:val="0"/>
          <w:numId w:val="55"/>
        </w:numPr>
        <w:spacing w:line="360" w:after="210" w:lineRule="auto"/>
      </w:pPr>
      <w:hyperlink r:id="rId215">
        <w:r>
          <w:rPr>
            <w:rFonts w:eastAsia="inter" w:cs="inter" w:ascii="inter" w:hAnsi="inter"/>
            <w:color w:val="#000"/>
            <w:sz w:val="18"/>
            <w:u w:val="single"/>
          </w:rPr>
          <w:t xml:space="preserve">https://www.brickergraydon.com/insights/resources/key/HIPAA-Privacy-Regulations-Accounting-of-Disclosures-of-Protected-Health-Information-Right-to-an-Accounting-164-528-a</w:t>
        </w:r>
      </w:hyperlink>
      <w:r>
        <w:rPr>
          <w:rFonts w:eastAsia="inter" w:cs="inter" w:ascii="inter" w:hAnsi="inter"/>
          <w:color w:val="000000"/>
          <w:sz w:val="18"/>
        </w:rPr>
        <w:t xml:space="preserve"> </w:t>
      </w:r>
    </w:p>
    <w:bookmarkStart w:id="558" w:name="fn210"/>
    <w:bookmarkEnd w:id="558"/>
    <w:p>
      <w:pPr>
        <w:numPr>
          <w:ilvl w:val="0"/>
          <w:numId w:val="55"/>
        </w:numPr>
        <w:spacing w:line="360" w:after="210" w:lineRule="auto"/>
      </w:pPr>
      <w:hyperlink r:id="rId216">
        <w:r>
          <w:rPr>
            <w:rFonts w:eastAsia="inter" w:cs="inter" w:ascii="inter" w:hAnsi="inter"/>
            <w:color w:val="#000"/>
            <w:sz w:val="18"/>
            <w:u w:val="single"/>
          </w:rPr>
          <w:t xml:space="preserve">https://www.hipaajournal.com/hipaa-disclosure-accounting/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59" w:name="fn211"/>
    <w:bookmarkEnd w:id="559"/>
    <w:p>
      <w:pPr>
        <w:numPr>
          <w:ilvl w:val="0"/>
          <w:numId w:val="55"/>
        </w:numPr>
        <w:spacing w:line="360" w:after="210" w:lineRule="auto"/>
      </w:pPr>
      <w:hyperlink r:id="rId217">
        <w:r>
          <w:rPr>
            <w:rFonts w:eastAsia="inter" w:cs="inter" w:ascii="inter" w:hAnsi="inter"/>
            <w:color w:val="#000"/>
            <w:sz w:val="18"/>
            <w:u w:val="single"/>
          </w:rPr>
          <w:t xml:space="preserve">https://www.hollandhart.com/business-associate-agreements-requirements-and-suggestions</w:t>
        </w:r>
      </w:hyperlink>
      <w:r>
        <w:rPr>
          <w:rFonts w:eastAsia="inter" w:cs="inter" w:ascii="inter" w:hAnsi="inter"/>
          <w:color w:val="000000"/>
          <w:sz w:val="18"/>
        </w:rPr>
        <w:t xml:space="preserve"> </w:t>
      </w:r>
    </w:p>
    <w:bookmarkStart w:id="560" w:name="fn212"/>
    <w:bookmarkEnd w:id="560"/>
    <w:p>
      <w:pPr>
        <w:numPr>
          <w:ilvl w:val="0"/>
          <w:numId w:val="55"/>
        </w:numPr>
        <w:spacing w:line="360" w:after="210" w:lineRule="auto"/>
      </w:pPr>
      <w:hyperlink r:id="rId218">
        <w:r>
          <w:rPr>
            <w:rFonts w:eastAsia="inter" w:cs="inter" w:ascii="inter" w:hAnsi="inter"/>
            <w:color w:val="#000"/>
            <w:sz w:val="18"/>
            <w:u w:val="single"/>
          </w:rPr>
          <w:t xml:space="preserve">https://www.hipaajournal.com/hipaa-business-associate-agreement/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61" w:name="fn213"/>
    <w:bookmarkEnd w:id="561"/>
    <w:p>
      <w:pPr>
        <w:numPr>
          <w:ilvl w:val="0"/>
          <w:numId w:val="55"/>
        </w:numPr>
        <w:spacing w:line="360" w:after="210" w:lineRule="auto"/>
      </w:pPr>
      <w:hyperlink r:id="rId219">
        <w:r>
          <w:rPr>
            <w:rFonts w:eastAsia="inter" w:cs="inter" w:ascii="inter" w:hAnsi="inter"/>
            <w:color w:val="#000"/>
            <w:sz w:val="18"/>
            <w:u w:val="single"/>
          </w:rPr>
          <w:t xml:space="preserve">https://www.face2gene.com/business-associate-addendum/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62" w:name="fn214"/>
    <w:bookmarkEnd w:id="562"/>
    <w:p>
      <w:pPr>
        <w:numPr>
          <w:ilvl w:val="0"/>
          <w:numId w:val="55"/>
        </w:numPr>
        <w:spacing w:line="360" w:after="210" w:lineRule="auto"/>
      </w:pPr>
      <w:hyperlink r:id="rId220">
        <w:r>
          <w:rPr>
            <w:rFonts w:eastAsia="inter" w:cs="inter" w:ascii="inter" w:hAnsi="inter"/>
            <w:color w:val="#000"/>
            <w:sz w:val="18"/>
            <w:u w:val="single"/>
          </w:rPr>
          <w:t xml:space="preserve">https://compliancy-group.com/business-associate-subcontractor-agreement-subcontractor-baa-explained/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63" w:name="fn215"/>
    <w:bookmarkEnd w:id="563"/>
    <w:p>
      <w:pPr>
        <w:numPr>
          <w:ilvl w:val="0"/>
          <w:numId w:val="55"/>
        </w:numPr>
        <w:spacing w:line="360" w:after="210" w:lineRule="auto"/>
      </w:pPr>
      <w:hyperlink r:id="rId221">
        <w:r>
          <w:rPr>
            <w:rFonts w:eastAsia="inter" w:cs="inter" w:ascii="inter" w:hAnsi="inter"/>
            <w:color w:val="#000"/>
            <w:sz w:val="18"/>
            <w:u w:val="single"/>
          </w:rPr>
          <w:t xml:space="preserve">https://www.accesscorp.com/basa/</w:t>
        </w:r>
      </w:hyperlink>
      <w:r>
        <w:rPr>
          <w:rFonts w:eastAsia="inter" w:cs="inter" w:ascii="inter" w:hAnsi="inter"/>
          <w:color w:val="000000"/>
          <w:sz w:val="18"/>
        </w:rPr>
        <w:t xml:space="preserve"> </w:t>
      </w:r>
    </w:p>
    <w:bookmarkStart w:id="564" w:name="fn216"/>
    <w:bookmarkEnd w:id="564"/>
    <w:p>
      <w:pPr>
        <w:numPr>
          <w:ilvl w:val="0"/>
          <w:numId w:val="55"/>
        </w:numPr>
        <w:spacing w:line="360" w:after="210" w:lineRule="auto"/>
      </w:pPr>
      <w:hyperlink r:id="rId222">
        <w:r>
          <w:rPr>
            <w:rFonts w:eastAsia="inter" w:cs="inter" w:ascii="inter" w:hAnsi="inter"/>
            <w:color w:val="#000"/>
            <w:sz w:val="18"/>
            <w:u w:val="single"/>
          </w:rPr>
          <w:t xml:space="preserve">https://clearwatersecurity.com/white-papers/hipaa-primer-requirements-for-business-associates/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65" w:name="fn217"/>
    <w:bookmarkEnd w:id="565"/>
    <w:p>
      <w:pPr>
        <w:numPr>
          <w:ilvl w:val="0"/>
          <w:numId w:val="55"/>
        </w:numPr>
        <w:spacing w:line="360" w:after="210" w:lineRule="auto"/>
      </w:pPr>
      <w:hyperlink r:id="rId223">
        <w:r>
          <w:rPr>
            <w:rFonts w:eastAsia="inter" w:cs="inter" w:ascii="inter" w:hAnsi="inter"/>
            <w:color w:val="#000"/>
            <w:sz w:val="18"/>
            <w:u w:val="single"/>
          </w:rPr>
          <w:t xml:space="preserve">https://partner.medica.com/providers/medica-administrative-manual/provider-responsibilities/hipaa-business-associate-requirements-for-providers</w:t>
        </w:r>
      </w:hyperlink>
      <w:r>
        <w:rPr>
          <w:rFonts w:eastAsia="inter" w:cs="inter" w:ascii="inter" w:hAnsi="inter"/>
          <w:color w:val="000000"/>
          <w:sz w:val="18"/>
        </w:rPr>
        <w:t xml:space="preserve"> </w:t>
      </w:r>
    </w:p>
    <w:bookmarkStart w:id="566" w:name="fn218"/>
    <w:bookmarkEnd w:id="566"/>
    <w:p>
      <w:pPr>
        <w:numPr>
          <w:ilvl w:val="0"/>
          <w:numId w:val="55"/>
        </w:numPr>
        <w:spacing w:line="360" w:after="210" w:lineRule="auto"/>
      </w:pPr>
      <w:hyperlink r:id="rId224">
        <w:r>
          <w:rPr>
            <w:rFonts w:eastAsia="inter" w:cs="inter" w:ascii="inter" w:hAnsi="inter"/>
            <w:color w:val="#000"/>
            <w:sz w:val="18"/>
            <w:u w:val="single"/>
          </w:rPr>
          <w:t xml:space="preserve">https://www.law.cornell.edu/cfr/text/45/164.528</w:t>
        </w:r>
      </w:hyperlink>
      <w:r>
        <w:rPr>
          <w:rFonts w:eastAsia="inter" w:cs="inter" w:ascii="inter" w:hAnsi="inter"/>
          <w:color w:val="000000"/>
          <w:sz w:val="18"/>
        </w:rPr>
        <w:t xml:space="preserve"> </w:t>
      </w:r>
    </w:p>
    <w:bookmarkStart w:id="567" w:name="fn219"/>
    <w:bookmarkEnd w:id="567"/>
    <w:p>
      <w:pPr>
        <w:numPr>
          <w:ilvl w:val="0"/>
          <w:numId w:val="55"/>
        </w:numPr>
        <w:spacing w:line="360" w:after="210" w:lineRule="auto"/>
      </w:pPr>
      <w:hyperlink r:id="rId225">
        <w:r>
          <w:rPr>
            <w:rFonts w:eastAsia="inter" w:cs="inter" w:ascii="inter" w:hAnsi="inter"/>
            <w:color w:val="#000"/>
            <w:sz w:val="18"/>
            <w:u w:val="single"/>
          </w:rPr>
          <w:t xml:space="preserve">https://www.hollandhart.com/business-associates-use-of-information-for-their-own-purposes</w:t>
        </w:r>
      </w:hyperlink>
      <w:r>
        <w:rPr>
          <w:rFonts w:eastAsia="inter" w:cs="inter" w:ascii="inter" w:hAnsi="inter"/>
          <w:color w:val="000000"/>
          <w:sz w:val="18"/>
        </w:rPr>
        <w:t xml:space="preserve"> </w:t>
      </w:r>
    </w:p>
    <w:bookmarkStart w:id="568" w:name="fn220"/>
    <w:bookmarkEnd w:id="568"/>
    <w:p>
      <w:pPr>
        <w:numPr>
          <w:ilvl w:val="0"/>
          <w:numId w:val="55"/>
        </w:numPr>
        <w:spacing w:line="360" w:after="210" w:lineRule="auto"/>
      </w:pPr>
      <w:hyperlink r:id="rId226">
        <w:r>
          <w:rPr>
            <w:rFonts w:eastAsia="inter" w:cs="inter" w:ascii="inter" w:hAnsi="inter"/>
            <w:color w:val="#000"/>
            <w:sz w:val="18"/>
            <w:u w:val="single"/>
          </w:rPr>
          <w:t xml:space="preserve">https://www.hhs.gov/hipaa/for-professionals/faq/246/do-business-associates-have-obligations/index.html</w:t>
        </w:r>
      </w:hyperlink>
      <w:r>
        <w:rPr>
          <w:rFonts w:eastAsia="inter" w:cs="inter" w:ascii="inter" w:hAnsi="inter"/>
          <w:color w:val="000000"/>
          <w:sz w:val="18"/>
        </w:rPr>
        <w:t xml:space="preserve"> </w:t>
      </w:r>
    </w:p>
    <w:bookmarkStart w:id="569" w:name="fn221"/>
    <w:bookmarkEnd w:id="569"/>
    <w:p>
      <w:pPr>
        <w:numPr>
          <w:ilvl w:val="0"/>
          <w:numId w:val="55"/>
        </w:numPr>
        <w:spacing w:line="360" w:after="210" w:lineRule="auto"/>
      </w:pPr>
      <w:hyperlink r:id="rId227">
        <w:r>
          <w:rPr>
            <w:rFonts w:eastAsia="inter" w:cs="inter" w:ascii="inter" w:hAnsi="inter"/>
            <w:color w:val="#000"/>
            <w:sz w:val="18"/>
            <w:u w:val="single"/>
          </w:rPr>
          <w:t xml:space="preserve">https://pearlhealth.com/policies/baa/</w:t>
        </w:r>
      </w:hyperlink>
      <w:r>
        <w:rPr>
          <w:rFonts w:eastAsia="inter" w:cs="inter" w:ascii="inter" w:hAnsi="inter"/>
          <w:color w:val="000000"/>
          <w:sz w:val="18"/>
        </w:rPr>
        <w:t xml:space="preserve"> </w:t>
      </w:r>
    </w:p>
    <w:bookmarkStart w:id="570" w:name="fn222"/>
    <w:bookmarkEnd w:id="570"/>
    <w:p>
      <w:pPr>
        <w:numPr>
          <w:ilvl w:val="0"/>
          <w:numId w:val="55"/>
        </w:numPr>
        <w:spacing w:line="360" w:after="210" w:lineRule="auto"/>
      </w:pPr>
      <w:hyperlink r:id="rId228">
        <w:r>
          <w:rPr>
            <w:rFonts w:eastAsia="inter" w:cs="inter" w:ascii="inter" w:hAnsi="inter"/>
            <w:color w:val="#000"/>
            <w:sz w:val="18"/>
            <w:u w:val="single"/>
          </w:rPr>
          <w:t xml:space="preserve">https://www.hhs.gov/hipaa/for-professionals/privacy/guidance/business-associates/index.html</w:t>
        </w:r>
      </w:hyperlink>
      <w:r>
        <w:rPr>
          <w:rFonts w:eastAsia="inter" w:cs="inter" w:ascii="inter" w:hAnsi="inter"/>
          <w:color w:val="000000"/>
          <w:sz w:val="18"/>
        </w:rPr>
        <w:t xml:space="preserve"> </w:t>
      </w:r>
    </w:p>
    <w:bookmarkStart w:id="571" w:name="fn223"/>
    <w:bookmarkEnd w:id="571"/>
    <w:p>
      <w:pPr>
        <w:numPr>
          <w:ilvl w:val="0"/>
          <w:numId w:val="55"/>
        </w:numPr>
        <w:spacing w:line="360" w:after="210" w:lineRule="auto"/>
      </w:pPr>
      <w:hyperlink r:id="rId229">
        <w:r>
          <w:rPr>
            <w:rFonts w:eastAsia="inter" w:cs="inter" w:ascii="inter" w:hAnsi="inter"/>
            <w:color w:val="#000"/>
            <w:sz w:val="18"/>
            <w:u w:val="single"/>
          </w:rPr>
          <w:t xml:space="preserve">https://www.hhs.gov/hipaa/for-professionals/faq/right-to-an-accounting-of-disclosures/index.html</w:t>
        </w:r>
      </w:hyperlink>
      <w:r>
        <w:rPr>
          <w:rFonts w:eastAsia="inter" w:cs="inter" w:ascii="inter" w:hAnsi="inter"/>
          <w:color w:val="000000"/>
          <w:sz w:val="18"/>
        </w:rPr>
        <w:t xml:space="preserve"> </w:t>
      </w:r>
    </w:p>
    <w:bookmarkStart w:id="572" w:name="fn224"/>
    <w:bookmarkEnd w:id="572"/>
    <w:p>
      <w:pPr>
        <w:numPr>
          <w:ilvl w:val="0"/>
          <w:numId w:val="55"/>
        </w:numPr>
        <w:spacing w:line="360" w:after="210" w:lineRule="auto"/>
      </w:pPr>
      <w:hyperlink r:id="rId230">
        <w:r>
          <w:rPr>
            <w:rFonts w:eastAsia="inter" w:cs="inter" w:ascii="inter" w:hAnsi="inter"/>
            <w:color w:val="#000"/>
            <w:sz w:val="18"/>
            <w:u w:val="single"/>
          </w:rPr>
          <w:t xml:space="preserve">https://www.brickergraydon.com/insights/resources/key/HIPAA-Privacy-Regulations-Accounting-of-Disclosures-of-Protected-Health-Information-Right-to-an-Accounting-164-528-a</w:t>
        </w:r>
      </w:hyperlink>
      <w:r>
        <w:rPr>
          <w:rFonts w:eastAsia="inter" w:cs="inter" w:ascii="inter" w:hAnsi="inter"/>
          <w:color w:val="000000"/>
          <w:sz w:val="18"/>
        </w:rPr>
        <w:t xml:space="preserve"> </w:t>
      </w:r>
    </w:p>
    <w:bookmarkStart w:id="573" w:name="fn225"/>
    <w:bookmarkEnd w:id="573"/>
    <w:p>
      <w:pPr>
        <w:numPr>
          <w:ilvl w:val="0"/>
          <w:numId w:val="55"/>
        </w:numPr>
        <w:spacing w:line="360" w:after="210" w:lineRule="auto"/>
      </w:pPr>
      <w:hyperlink r:id="rId231">
        <w:r>
          <w:rPr>
            <w:rFonts w:eastAsia="inter" w:cs="inter" w:ascii="inter" w:hAnsi="inter"/>
            <w:color w:val="#000"/>
            <w:sz w:val="18"/>
            <w:u w:val="single"/>
          </w:rPr>
          <w:t xml:space="preserve">https://www.law.cornell.edu/cfr/text/45/164.528</w:t>
        </w:r>
      </w:hyperlink>
      <w:r>
        <w:rPr>
          <w:rFonts w:eastAsia="inter" w:cs="inter" w:ascii="inter" w:hAnsi="inter"/>
          <w:color w:val="000000"/>
          <w:sz w:val="18"/>
        </w:rPr>
        <w:t xml:space="preserve"> </w:t>
      </w:r>
    </w:p>
    <w:bookmarkStart w:id="574" w:name="fn226"/>
    <w:bookmarkEnd w:id="574"/>
    <w:p>
      <w:pPr>
        <w:numPr>
          <w:ilvl w:val="0"/>
          <w:numId w:val="55"/>
        </w:numPr>
        <w:spacing w:line="360" w:after="210" w:lineRule="auto"/>
      </w:pPr>
      <w:hyperlink r:id="rId232">
        <w:r>
          <w:rPr>
            <w:rFonts w:eastAsia="inter" w:cs="inter" w:ascii="inter" w:hAnsi="inter"/>
            <w:color w:val="#000"/>
            <w:sz w:val="18"/>
            <w:u w:val="single"/>
          </w:rPr>
          <w:t xml:space="preserve">https://www.hipaajournal.com/hipaa-compliance-for-business-associates/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75" w:name="fn227"/>
    <w:bookmarkEnd w:id="575"/>
    <w:p>
      <w:pPr>
        <w:numPr>
          <w:ilvl w:val="0"/>
          <w:numId w:val="55"/>
        </w:numPr>
        <w:spacing w:line="360" w:after="210" w:lineRule="auto"/>
      </w:pPr>
      <w:hyperlink r:id="rId233">
        <w:r>
          <w:rPr>
            <w:rFonts w:eastAsia="inter" w:cs="inter" w:ascii="inter" w:hAnsi="inter"/>
            <w:color w:val="#000"/>
            <w:sz w:val="18"/>
            <w:u w:val="single"/>
          </w:rPr>
          <w:t xml:space="preserve">https://www.hollandhart.com/business-associate-agreements-requirements-and-suggestions</w:t>
        </w:r>
      </w:hyperlink>
      <w:r>
        <w:rPr>
          <w:rFonts w:eastAsia="inter" w:cs="inter" w:ascii="inter" w:hAnsi="inter"/>
          <w:color w:val="000000"/>
          <w:sz w:val="18"/>
        </w:rPr>
        <w:t xml:space="preserve"> </w:t>
      </w:r>
    </w:p>
    <w:bookmarkStart w:id="576" w:name="fn228"/>
    <w:bookmarkEnd w:id="576"/>
    <w:p>
      <w:pPr>
        <w:numPr>
          <w:ilvl w:val="0"/>
          <w:numId w:val="55"/>
        </w:numPr>
        <w:spacing w:line="360" w:after="210" w:lineRule="auto"/>
      </w:pPr>
      <w:hyperlink r:id="rId234">
        <w:r>
          <w:rPr>
            <w:rFonts w:eastAsia="inter" w:cs="inter" w:ascii="inter" w:hAnsi="inter"/>
            <w:color w:val="#000"/>
            <w:sz w:val="18"/>
            <w:u w:val="single"/>
          </w:rPr>
          <w:t xml:space="preserve">https://www.hipaajournal.com/hipaa-business-associate-agreement/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77" w:name="fn229"/>
    <w:bookmarkEnd w:id="577"/>
    <w:p>
      <w:pPr>
        <w:numPr>
          <w:ilvl w:val="0"/>
          <w:numId w:val="55"/>
        </w:numPr>
        <w:spacing w:line="360" w:after="210" w:lineRule="auto"/>
      </w:pPr>
      <w:hyperlink r:id="rId235">
        <w:r>
          <w:rPr>
            <w:rFonts w:eastAsia="inter" w:cs="inter" w:ascii="inter" w:hAnsi="inter"/>
            <w:color w:val="#000"/>
            <w:sz w:val="18"/>
            <w:u w:val="single"/>
          </w:rPr>
          <w:t xml:space="preserve">https://www.face2gene.com/business-associate-addendum/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78" w:name="fn230"/>
    <w:bookmarkEnd w:id="578"/>
    <w:p>
      <w:pPr>
        <w:numPr>
          <w:ilvl w:val="0"/>
          <w:numId w:val="55"/>
        </w:numPr>
        <w:spacing w:line="360" w:after="210" w:lineRule="auto"/>
      </w:pPr>
      <w:hyperlink r:id="rId236">
        <w:r>
          <w:rPr>
            <w:rFonts w:eastAsia="inter" w:cs="inter" w:ascii="inter" w:hAnsi="inter"/>
            <w:color w:val="#000"/>
            <w:sz w:val="18"/>
            <w:u w:val="single"/>
          </w:rPr>
          <w:t xml:space="preserve">https://compliancy-group.com/business-associate-subcontractor-agreement-subcontractor-baa-explained/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79" w:name="fn231"/>
    <w:bookmarkEnd w:id="579"/>
    <w:p>
      <w:pPr>
        <w:numPr>
          <w:ilvl w:val="0"/>
          <w:numId w:val="55"/>
        </w:numPr>
        <w:spacing w:line="360" w:after="210" w:lineRule="auto"/>
      </w:pPr>
      <w:hyperlink r:id="rId237">
        <w:r>
          <w:rPr>
            <w:rFonts w:eastAsia="inter" w:cs="inter" w:ascii="inter" w:hAnsi="inter"/>
            <w:color w:val="#000"/>
            <w:sz w:val="18"/>
            <w:u w:val="single"/>
          </w:rPr>
          <w:t xml:space="preserve">https://www.accesscorp.com/basa/</w:t>
        </w:r>
      </w:hyperlink>
      <w:r>
        <w:rPr>
          <w:rFonts w:eastAsia="inter" w:cs="inter" w:ascii="inter" w:hAnsi="inter"/>
          <w:color w:val="000000"/>
          <w:sz w:val="18"/>
        </w:rPr>
        <w:t xml:space="preserve"> </w:t>
      </w:r>
    </w:p>
    <w:bookmarkStart w:id="580" w:name="fn232"/>
    <w:bookmarkEnd w:id="580"/>
    <w:p>
      <w:pPr>
        <w:numPr>
          <w:ilvl w:val="0"/>
          <w:numId w:val="55"/>
        </w:numPr>
        <w:spacing w:line="360" w:after="210" w:lineRule="auto"/>
      </w:pPr>
      <w:hyperlink r:id="rId238">
        <w:r>
          <w:rPr>
            <w:rFonts w:eastAsia="inter" w:cs="inter" w:ascii="inter" w:hAnsi="inter"/>
            <w:color w:val="#000"/>
            <w:sz w:val="18"/>
            <w:u w:val="single"/>
          </w:rPr>
          <w:t xml:space="preserve">https://www.hipaajournal.com/hipaa-disclosure-accounting/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81" w:name="fn233"/>
    <w:bookmarkEnd w:id="581"/>
    <w:p>
      <w:pPr>
        <w:numPr>
          <w:ilvl w:val="0"/>
          <w:numId w:val="55"/>
        </w:numPr>
        <w:spacing w:line="360" w:after="210" w:lineRule="auto"/>
      </w:pPr>
      <w:hyperlink r:id="rId239">
        <w:r>
          <w:rPr>
            <w:rFonts w:eastAsia="inter" w:cs="inter" w:ascii="inter" w:hAnsi="inter"/>
            <w:color w:val="#000"/>
            <w:sz w:val="18"/>
            <w:u w:val="single"/>
          </w:rPr>
          <w:t xml:space="preserve">https://clearwatersecurity.com/white-papers/hipaa-primer-requirements-for-business-associates/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82" w:name="fn234"/>
    <w:bookmarkEnd w:id="582"/>
    <w:p>
      <w:pPr>
        <w:numPr>
          <w:ilvl w:val="0"/>
          <w:numId w:val="55"/>
        </w:numPr>
        <w:spacing w:line="360" w:after="210" w:lineRule="auto"/>
      </w:pPr>
      <w:hyperlink r:id="rId240">
        <w:r>
          <w:rPr>
            <w:rFonts w:eastAsia="inter" w:cs="inter" w:ascii="inter" w:hAnsi="inter"/>
            <w:color w:val="#000"/>
            <w:sz w:val="18"/>
            <w:u w:val="single"/>
          </w:rPr>
          <w:t xml:space="preserve">https://partner.medica.com/providers/medica-administrative-manual/provider-responsibilities/hipaa-business-associate-requirements-for-providers</w:t>
        </w:r>
      </w:hyperlink>
      <w:r>
        <w:rPr>
          <w:rFonts w:eastAsia="inter" w:cs="inter" w:ascii="inter" w:hAnsi="inter"/>
          <w:color w:val="000000"/>
          <w:sz w:val="18"/>
        </w:rPr>
        <w:t xml:space="preserve"> </w:t>
      </w:r>
    </w:p>
    <w:bookmarkStart w:id="583" w:name="fn235"/>
    <w:bookmarkEnd w:id="583"/>
    <w:p>
      <w:pPr>
        <w:numPr>
          <w:ilvl w:val="0"/>
          <w:numId w:val="55"/>
        </w:numPr>
        <w:spacing w:line="360" w:after="210" w:lineRule="auto"/>
      </w:pPr>
      <w:hyperlink r:id="rId241">
        <w:r>
          <w:rPr>
            <w:rFonts w:eastAsia="inter" w:cs="inter" w:ascii="inter" w:hAnsi="inter"/>
            <w:color w:val="#000"/>
            <w:sz w:val="18"/>
            <w:u w:val="single"/>
          </w:rPr>
          <w:t xml:space="preserve">https://www.venturacounty.gov/general-services-agency/wp-content/uploads/sites/19/2024/05/HIPAA-BAA_Template04-13-24.pdf</w:t>
        </w:r>
      </w:hyperlink>
      <w:r>
        <w:rPr>
          <w:rFonts w:eastAsia="inter" w:cs="inter" w:ascii="inter" w:hAnsi="inter"/>
          <w:color w:val="000000"/>
          <w:sz w:val="18"/>
        </w:rPr>
        <w:t xml:space="preserve"> </w:t>
      </w:r>
    </w:p>
    <w:bookmarkStart w:id="584" w:name="fn236"/>
    <w:bookmarkEnd w:id="584"/>
    <w:p>
      <w:pPr>
        <w:numPr>
          <w:ilvl w:val="0"/>
          <w:numId w:val="55"/>
        </w:numPr>
        <w:spacing w:line="360" w:after="210" w:lineRule="auto"/>
      </w:pPr>
      <w:hyperlink r:id="rId242">
        <w:r>
          <w:rPr>
            <w:rFonts w:eastAsia="inter" w:cs="inter" w:ascii="inter" w:hAnsi="inter"/>
            <w:color w:val="#000"/>
            <w:sz w:val="18"/>
            <w:u w:val="single"/>
          </w:rPr>
          <w:t xml:space="preserve">https://oscislaw.com/wp-content/uploads/2020/04/2011_06_HIPAA-AOD-Proposed-Rule-HLD-Newsletter.pdf</w:t>
        </w:r>
      </w:hyperlink>
      <w:r>
        <w:rPr>
          <w:rFonts w:eastAsia="inter" w:cs="inter" w:ascii="inter" w:hAnsi="inter"/>
          <w:color w:val="000000"/>
          <w:sz w:val="18"/>
        </w:rPr>
        <w:t xml:space="preserve"> </w:t>
      </w:r>
    </w:p>
    <w:bookmarkStart w:id="585" w:name="fn237"/>
    <w:bookmarkEnd w:id="585"/>
    <w:p>
      <w:pPr>
        <w:numPr>
          <w:ilvl w:val="0"/>
          <w:numId w:val="55"/>
        </w:numPr>
        <w:spacing w:line="360" w:after="210" w:lineRule="auto"/>
      </w:pPr>
      <w:hyperlink r:id="rId243">
        <w:r>
          <w:rPr>
            <w:rFonts w:eastAsia="inter" w:cs="inter" w:ascii="inter" w:hAnsi="inter"/>
            <w:color w:val="#000"/>
            <w:sz w:val="18"/>
            <w:u w:val="single"/>
          </w:rPr>
          <w:t xml:space="preserve">https://schs.dph.ncdhhs.gov/hipaa/guidance/Q&amp;A-Accounting-for-disclosures.pdf</w:t>
        </w:r>
      </w:hyperlink>
      <w:r>
        <w:rPr>
          <w:rFonts w:eastAsia="inter" w:cs="inter" w:ascii="inter" w:hAnsi="inter"/>
          <w:color w:val="000000"/>
          <w:sz w:val="18"/>
        </w:rPr>
        <w:t xml:space="preserve"> </w:t>
      </w:r>
    </w:p>
    <w:bookmarkStart w:id="586" w:name="fn238"/>
    <w:bookmarkEnd w:id="586"/>
    <w:p>
      <w:pPr>
        <w:numPr>
          <w:ilvl w:val="0"/>
          <w:numId w:val="55"/>
        </w:numPr>
        <w:spacing w:line="360" w:after="210" w:lineRule="auto"/>
      </w:pPr>
      <w:hyperlink r:id="rId244">
        <w:r>
          <w:rPr>
            <w:rFonts w:eastAsia="inter" w:cs="inter" w:ascii="inter" w:hAnsi="inter"/>
            <w:color w:val="#000"/>
            <w:sz w:val="18"/>
            <w:u w:val="single"/>
          </w:rPr>
          <w:t xml:space="preserve">https://www.hhs.gov/hipaa/for-professionals/faq/246/do-business-associates-have-obligations/index.html</w:t>
        </w:r>
      </w:hyperlink>
      <w:r>
        <w:rPr>
          <w:rFonts w:eastAsia="inter" w:cs="inter" w:ascii="inter" w:hAnsi="inter"/>
          <w:color w:val="000000"/>
          <w:sz w:val="18"/>
        </w:rPr>
        <w:t xml:space="preserve"> </w:t>
      </w:r>
    </w:p>
    <w:bookmarkStart w:id="587" w:name="fn239"/>
    <w:bookmarkEnd w:id="587"/>
    <w:p>
      <w:pPr>
        <w:numPr>
          <w:ilvl w:val="0"/>
          <w:numId w:val="55"/>
        </w:numPr>
        <w:spacing w:line="360" w:after="210" w:lineRule="auto"/>
      </w:pPr>
      <w:hyperlink r:id="rId245">
        <w:r>
          <w:rPr>
            <w:rFonts w:eastAsia="inter" w:cs="inter" w:ascii="inter" w:hAnsi="inter"/>
            <w:color w:val="#000"/>
            <w:sz w:val="18"/>
            <w:u w:val="single"/>
          </w:rPr>
          <w:t xml:space="preserve">https://www.hhs.gov/hipaa/for-professionals/special-topics/research/index.html</w:t>
        </w:r>
      </w:hyperlink>
      <w:r>
        <w:rPr>
          <w:rFonts w:eastAsia="inter" w:cs="inter" w:ascii="inter" w:hAnsi="inter"/>
          <w:color w:val="000000"/>
          <w:sz w:val="18"/>
        </w:rPr>
        <w:t xml:space="preserve"> </w:t>
      </w:r>
    </w:p>
    <w:bookmarkStart w:id="588" w:name="fn240"/>
    <w:bookmarkEnd w:id="588"/>
    <w:p>
      <w:pPr>
        <w:numPr>
          <w:ilvl w:val="0"/>
          <w:numId w:val="55"/>
        </w:numPr>
        <w:spacing w:line="360" w:after="210" w:lineRule="auto"/>
      </w:pPr>
      <w:hyperlink r:id="rId246">
        <w:r>
          <w:rPr>
            <w:rFonts w:eastAsia="inter" w:cs="inter" w:ascii="inter" w:hAnsi="inter"/>
            <w:color w:val="#000"/>
            <w:sz w:val="18"/>
            <w:u w:val="single"/>
          </w:rPr>
          <w:t xml:space="preserve">https://www.federalregister.gov/documents/2011/05/31/2011-13297/hipaa-privacy-rule-accounting-of-disclosures-under-the-health-information-technology-for-economic</w:t>
        </w:r>
      </w:hyperlink>
      <w:r>
        <w:rPr>
          <w:rFonts w:eastAsia="inter" w:cs="inter" w:ascii="inter" w:hAnsi="inter"/>
          <w:color w:val="000000"/>
          <w:sz w:val="18"/>
        </w:rPr>
        <w:t xml:space="preserve"> </w:t>
      </w:r>
    </w:p>
    <w:bookmarkStart w:id="589" w:name="fn241"/>
    <w:bookmarkEnd w:id="589"/>
    <w:p>
      <w:pPr>
        <w:numPr>
          <w:ilvl w:val="0"/>
          <w:numId w:val="55"/>
        </w:numPr>
        <w:spacing w:line="360" w:after="210" w:lineRule="auto"/>
      </w:pPr>
      <w:hyperlink r:id="rId247">
        <w:r>
          <w:rPr>
            <w:rFonts w:eastAsia="inter" w:cs="inter" w:ascii="inter" w:hAnsi="inter"/>
            <w:color w:val="#000"/>
            <w:sz w:val="18"/>
            <w:u w:val="single"/>
          </w:rPr>
          <w:t xml:space="preserve">https://hhhealthlawblog.com/use-of-phi-for-non-patient-purposes/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90" w:name="fn242"/>
    <w:bookmarkEnd w:id="590"/>
    <w:p>
      <w:pPr>
        <w:numPr>
          <w:ilvl w:val="0"/>
          <w:numId w:val="55"/>
        </w:numPr>
        <w:spacing w:line="360" w:after="210" w:lineRule="auto"/>
      </w:pPr>
      <w:hyperlink r:id="rId248">
        <w:r>
          <w:rPr>
            <w:rFonts w:eastAsia="inter" w:cs="inter" w:ascii="inter" w:hAnsi="inter"/>
            <w:color w:val="#000"/>
            <w:sz w:val="18"/>
            <w:u w:val="single"/>
          </w:rPr>
          <w:t xml:space="preserve">https://www.brickergraydon.com/insights/resources/key/HIPAA-Privacy-Regulations-Accounting-of-Disclosures-of-Protected-Health-Information-Right-to-an-Accounting-164-528-a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91" w:name="fn243"/>
    <w:bookmarkEnd w:id="591"/>
    <w:p>
      <w:pPr>
        <w:numPr>
          <w:ilvl w:val="0"/>
          <w:numId w:val="55"/>
        </w:numPr>
        <w:spacing w:line="360" w:after="210" w:lineRule="auto"/>
      </w:pPr>
      <w:hyperlink r:id="rId249">
        <w:r>
          <w:rPr>
            <w:rFonts w:eastAsia="inter" w:cs="inter" w:ascii="inter" w:hAnsi="inter"/>
            <w:color w:val="#000"/>
            <w:sz w:val="18"/>
            <w:u w:val="single"/>
          </w:rPr>
          <w:t xml:space="preserve">https://www.hipaajournal.com/hipaa-compliance-for-business-associates/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92" w:name="fn244"/>
    <w:bookmarkEnd w:id="592"/>
    <w:p>
      <w:pPr>
        <w:numPr>
          <w:ilvl w:val="0"/>
          <w:numId w:val="55"/>
        </w:numPr>
        <w:spacing w:line="360" w:after="210" w:lineRule="auto"/>
      </w:pPr>
      <w:hyperlink r:id="rId250">
        <w:r>
          <w:rPr>
            <w:rFonts w:eastAsia="inter" w:cs="inter" w:ascii="inter" w:hAnsi="inter"/>
            <w:color w:val="#000"/>
            <w:sz w:val="18"/>
            <w:u w:val="single"/>
          </w:rPr>
          <w:t xml:space="preserve">https://www.law.cornell.edu/cfr/text/45/164.528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93" w:name="fn245"/>
    <w:bookmarkEnd w:id="593"/>
    <w:p>
      <w:pPr>
        <w:numPr>
          <w:ilvl w:val="0"/>
          <w:numId w:val="55"/>
        </w:numPr>
        <w:spacing w:line="360" w:after="210" w:lineRule="auto"/>
      </w:pPr>
      <w:hyperlink r:id="rId251">
        <w:r>
          <w:rPr>
            <w:rFonts w:eastAsia="inter" w:cs="inter" w:ascii="inter" w:hAnsi="inter"/>
            <w:color w:val="#000"/>
            <w:sz w:val="18"/>
            <w:u w:val="single"/>
          </w:rPr>
          <w:t xml:space="preserve">https://www.hollandhart.com/business-associate-agreements-requirements-and-suggestions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94" w:name="fn246"/>
    <w:bookmarkEnd w:id="594"/>
    <w:p>
      <w:pPr>
        <w:numPr>
          <w:ilvl w:val="0"/>
          <w:numId w:val="55"/>
        </w:numPr>
        <w:spacing w:line="360" w:after="210" w:lineRule="auto"/>
      </w:pPr>
      <w:hyperlink r:id="rId252">
        <w:r>
          <w:rPr>
            <w:rFonts w:eastAsia="inter" w:cs="inter" w:ascii="inter" w:hAnsi="inter"/>
            <w:color w:val="#000"/>
            <w:sz w:val="18"/>
            <w:u w:val="single"/>
          </w:rPr>
          <w:t xml:space="preserve">https://www.hipaajournal.com/hipaa-business-associate-agreement/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95" w:name="fn247"/>
    <w:bookmarkEnd w:id="595"/>
    <w:p>
      <w:pPr>
        <w:numPr>
          <w:ilvl w:val="0"/>
          <w:numId w:val="55"/>
        </w:numPr>
        <w:spacing w:line="360" w:after="210" w:lineRule="auto"/>
      </w:pPr>
      <w:hyperlink r:id="rId253">
        <w:r>
          <w:rPr>
            <w:rFonts w:eastAsia="inter" w:cs="inter" w:ascii="inter" w:hAnsi="inter"/>
            <w:color w:val="#000"/>
            <w:sz w:val="18"/>
            <w:u w:val="single"/>
          </w:rPr>
          <w:t xml:space="preserve">https://compliancy-group.com/business-associate-subcontractor-agreement-subcontractor-baa-explained/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96" w:name="fn248"/>
    <w:bookmarkEnd w:id="596"/>
    <w:p>
      <w:pPr>
        <w:numPr>
          <w:ilvl w:val="0"/>
          <w:numId w:val="55"/>
        </w:numPr>
        <w:spacing w:line="360" w:after="210" w:lineRule="auto"/>
      </w:pPr>
      <w:hyperlink r:id="rId254">
        <w:r>
          <w:rPr>
            <w:rFonts w:eastAsia="inter" w:cs="inter" w:ascii="inter" w:hAnsi="inter"/>
            <w:color w:val="#000"/>
            <w:sz w:val="18"/>
            <w:u w:val="single"/>
          </w:rPr>
          <w:t xml:space="preserve">https://www.accesscorp.com/basa/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97" w:name="fn249"/>
    <w:bookmarkEnd w:id="597"/>
    <w:p>
      <w:pPr>
        <w:numPr>
          <w:ilvl w:val="0"/>
          <w:numId w:val="55"/>
        </w:numPr>
        <w:spacing w:line="360" w:after="210" w:lineRule="auto"/>
      </w:pPr>
      <w:hyperlink r:id="rId255">
        <w:r>
          <w:rPr>
            <w:rFonts w:eastAsia="inter" w:cs="inter" w:ascii="inter" w:hAnsi="inter"/>
            <w:color w:val="#000"/>
            <w:sz w:val="18"/>
            <w:u w:val="single"/>
          </w:rPr>
          <w:t xml:space="preserve">https://www.face2gene.com/business-associate-addendum/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98" w:name="fn250"/>
    <w:bookmarkEnd w:id="598"/>
    <w:p>
      <w:pPr>
        <w:numPr>
          <w:ilvl w:val="0"/>
          <w:numId w:val="55"/>
        </w:numPr>
        <w:spacing w:line="360" w:after="210" w:lineRule="auto"/>
      </w:pPr>
      <w:hyperlink r:id="rId256">
        <w:r>
          <w:rPr>
            <w:rFonts w:eastAsia="inter" w:cs="inter" w:ascii="inter" w:hAnsi="inter"/>
            <w:color w:val="#000"/>
            <w:sz w:val="18"/>
            <w:u w:val="single"/>
          </w:rPr>
          <w:t xml:space="preserve">https://www.hipaajournal.com/hipaa-disclosure-accounting/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99" w:name="fn251"/>
    <w:bookmarkEnd w:id="599"/>
    <w:p>
      <w:pPr>
        <w:numPr>
          <w:ilvl w:val="0"/>
          <w:numId w:val="55"/>
        </w:numPr>
        <w:spacing w:line="360" w:after="210" w:lineRule="auto"/>
      </w:pPr>
      <w:hyperlink r:id="rId257">
        <w:r>
          <w:rPr>
            <w:rFonts w:eastAsia="inter" w:cs="inter" w:ascii="inter" w:hAnsi="inter"/>
            <w:color w:val="#000"/>
            <w:sz w:val="18"/>
            <w:u w:val="single"/>
          </w:rPr>
          <w:t xml:space="preserve">https://partner.medica.com/providers/medica-administrative-manual/provider-responsibilities/hipaa-business-associate-requirements-for-providers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00" w:name="fn252"/>
    <w:bookmarkEnd w:id="600"/>
    <w:p>
      <w:pPr>
        <w:numPr>
          <w:ilvl w:val="0"/>
          <w:numId w:val="55"/>
        </w:numPr>
        <w:spacing w:line="360" w:after="210" w:lineRule="auto"/>
      </w:pPr>
      <w:hyperlink r:id="rId258">
        <w:r>
          <w:rPr>
            <w:rFonts w:eastAsia="inter" w:cs="inter" w:ascii="inter" w:hAnsi="inter"/>
            <w:color w:val="#000"/>
            <w:sz w:val="18"/>
            <w:u w:val="single"/>
          </w:rPr>
          <w:t xml:space="preserve">https://clearwatersecurity.com/white-papers/hipaa-primer-requirements-for-business-associates/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01" w:name="fn253"/>
    <w:bookmarkEnd w:id="601"/>
    <w:p>
      <w:pPr>
        <w:numPr>
          <w:ilvl w:val="0"/>
          <w:numId w:val="55"/>
        </w:numPr>
        <w:spacing w:line="360" w:after="210" w:lineRule="auto"/>
      </w:pPr>
      <w:hyperlink r:id="rId259">
        <w:r>
          <w:rPr>
            <w:rFonts w:eastAsia="inter" w:cs="inter" w:ascii="inter" w:hAnsi="inter"/>
            <w:color w:val="#000"/>
            <w:sz w:val="18"/>
            <w:u w:val="single"/>
          </w:rPr>
          <w:t xml:space="preserve">https://pearlhealth.com/policies/baa/</w:t>
        </w:r>
      </w:hyperlink>
      <w:r>
        <w:rPr>
          <w:rFonts w:eastAsia="inter" w:cs="inter" w:ascii="inter" w:hAnsi="inter"/>
          <w:color w:val="000000"/>
          <w:sz w:val="18"/>
        </w:rPr>
        <w:t xml:space="preserve"> </w:t>
      </w:r>
    </w:p>
    <w:bookmarkStart w:id="602" w:name="fn254"/>
    <w:bookmarkEnd w:id="602"/>
    <w:p>
      <w:pPr>
        <w:numPr>
          <w:ilvl w:val="0"/>
          <w:numId w:val="55"/>
        </w:numPr>
        <w:spacing w:line="360" w:after="210" w:lineRule="auto"/>
      </w:pPr>
      <w:hyperlink r:id="rId260">
        <w:r>
          <w:rPr>
            <w:rFonts w:eastAsia="inter" w:cs="inter" w:ascii="inter" w:hAnsi="inter"/>
            <w:color w:val="#000"/>
            <w:sz w:val="18"/>
            <w:u w:val="single"/>
          </w:rPr>
          <w:t xml:space="preserve">https://stratishealth.org/wp-content/uploads/2020/07/4-Business-Associate-and-Other-Agreements.pdf</w:t>
        </w:r>
      </w:hyperlink>
      <w:r>
        <w:rPr>
          <w:rFonts w:eastAsia="inter" w:cs="inter" w:ascii="inter" w:hAnsi="inter"/>
          <w:color w:val="000000"/>
          <w:sz w:val="18"/>
        </w:rPr>
        <w:t xml:space="preserve"> </w:t>
      </w:r>
    </w:p>
    <w:bookmarkStart w:id="603" w:name="fn255"/>
    <w:bookmarkEnd w:id="603"/>
    <w:p>
      <w:pPr>
        <w:numPr>
          <w:ilvl w:val="0"/>
          <w:numId w:val="55"/>
        </w:numPr>
        <w:spacing w:line="360" w:after="210" w:lineRule="auto"/>
      </w:pPr>
      <w:hyperlink r:id="rId261">
        <w:r>
          <w:rPr>
            <w:rFonts w:eastAsia="inter" w:cs="inter" w:ascii="inter" w:hAnsi="inter"/>
            <w:color w:val="#000"/>
            <w:sz w:val="18"/>
            <w:u w:val="single"/>
          </w:rPr>
          <w:t xml:space="preserve">https://www.hollandhart.com/hipaa-checklist-covered-entities</w:t>
        </w:r>
      </w:hyperlink>
      <w:r>
        <w:rPr>
          <w:rFonts w:eastAsia="inter" w:cs="inter" w:ascii="inter" w:hAnsi="inter"/>
          <w:color w:val="000000"/>
          <w:sz w:val="18"/>
        </w:rPr>
        <w:t xml:space="preserve"> </w:t>
      </w:r>
    </w:p>
    <w:bookmarkStart w:id="604" w:name="fn256"/>
    <w:bookmarkEnd w:id="604"/>
    <w:p>
      <w:pPr>
        <w:numPr>
          <w:ilvl w:val="0"/>
          <w:numId w:val="55"/>
        </w:numPr>
        <w:spacing w:line="360" w:after="210" w:lineRule="auto"/>
      </w:pPr>
      <w:hyperlink r:id="rId262">
        <w:r>
          <w:rPr>
            <w:rFonts w:eastAsia="inter" w:cs="inter" w:ascii="inter" w:hAnsi="inter"/>
            <w:color w:val="#000"/>
            <w:sz w:val="18"/>
            <w:u w:val="single"/>
          </w:rPr>
          <w:t xml:space="preserve">https://www.hhs.gov/hipaa/for-professionals/covered-entities/sample-business-associate-agreement-provisions/index.html</w:t>
        </w:r>
      </w:hyperlink>
      <w:r>
        <w:rPr>
          <w:rFonts w:eastAsia="inter" w:cs="inter" w:ascii="inter" w:hAnsi="inter"/>
          <w:color w:val="000000"/>
          <w:sz w:val="18"/>
        </w:rPr>
        <w:t xml:space="preserve"> </w:t>
      </w:r>
    </w:p>
    <w:bookmarkStart w:id="605" w:name="fn257"/>
    <w:bookmarkEnd w:id="605"/>
    <w:p>
      <w:pPr>
        <w:numPr>
          <w:ilvl w:val="0"/>
          <w:numId w:val="55"/>
        </w:numPr>
        <w:spacing w:line="360" w:after="210" w:lineRule="auto"/>
      </w:pPr>
      <w:hyperlink r:id="rId263">
        <w:r>
          <w:rPr>
            <w:rFonts w:eastAsia="inter" w:cs="inter" w:ascii="inter" w:hAnsi="inter"/>
            <w:color w:val="#000"/>
            <w:sz w:val="18"/>
            <w:u w:val="single"/>
          </w:rPr>
          <w:t xml:space="preserve">https://www.hhs.gov/hipaa/for-professionals/privacy/guidance/business-associates/index.html</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4">
    <w:multiLevelType w:val="hybridMultilevel"/>
  </w:abstractNum>
  <w:abstractNum w:abstractNumId="5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052322a6940e111d2b015c5879cdb2a0b934c5f.png" TargetMode="Internal"/><Relationship Id="rId6" Type="http://schemas.openxmlformats.org/officeDocument/2006/relationships/hyperlink" Target="http://way.To" TargetMode="External"/><Relationship Id="rId7" Type="http://schemas.openxmlformats.org/officeDocument/2006/relationships/hyperlink" Target="https://pmc.ncbi.nlm.nih.gov/articles/PMC3723489/" TargetMode="External"/><Relationship Id="rId8" Type="http://schemas.openxmlformats.org/officeDocument/2006/relationships/hyperlink" Target="https://www.the-scientist.com/how-speculative-fiction-expands-scientific-horizons-72855" TargetMode="External"/><Relationship Id="rId9" Type="http://schemas.openxmlformats.org/officeDocument/2006/relationships/hyperlink" Target="https://archleague.org/article/speculative-science/" TargetMode="External"/><Relationship Id="rId10" Type="http://schemas.openxmlformats.org/officeDocument/2006/relationships/hyperlink" Target="https://democracyforward.org/the-peoples-guide-to-project-2025/" TargetMode="External"/><Relationship Id="rId11" Type="http://schemas.openxmlformats.org/officeDocument/2006/relationships/hyperlink" Target="https://repos.ecosyste.ms/topics/aura" TargetMode="External"/><Relationship Id="rId12" Type="http://schemas.openxmlformats.org/officeDocument/2006/relationships/hyperlink" Target="https://www.reddit.com/r/Physics/comments/ftid2/has_anyone_else_noticed_an_unusually_large_number/" TargetMode="External"/><Relationship Id="rId13" Type="http://schemas.openxmlformats.org/officeDocument/2006/relationships/hyperlink" Target="https://www.pbs.org/newshour/show/a-look-at-the-project-2025-plan-to-reshape-government-and-trumps-links-to-its-authors" TargetMode="External"/><Relationship Id="rId14" Type="http://schemas.openxmlformats.org/officeDocument/2006/relationships/hyperlink" Target="https://www.youtube.com/watch?v=D9oC95C_7_4" TargetMode="External"/><Relationship Id="rId15" Type="http://schemas.openxmlformats.org/officeDocument/2006/relationships/hyperlink" Target="https://www.icr.org/content/speculation-invention-and-invisible-hand" TargetMode="External"/><Relationship Id="rId16" Type="http://schemas.openxmlformats.org/officeDocument/2006/relationships/hyperlink" Target="https://envirodatagov.org/project-2025-annotation/" TargetMode="External"/><Relationship Id="rId17" Type="http://schemas.openxmlformats.org/officeDocument/2006/relationships/hyperlink" Target="https://distro.tube/kb/aura.html" TargetMode="External"/><Relationship Id="rId18" Type="http://schemas.openxmlformats.org/officeDocument/2006/relationships/hyperlink" Target="https://www.sciencedirect.com/science/article/pii/S2405872621000861" TargetMode="External"/><Relationship Id="rId19" Type="http://schemas.openxmlformats.org/officeDocument/2006/relationships/hyperlink" Target="https://www.cbsnews.com/news/what-is-project-2025-trump-conservative-blueprint-heritage-foundation/" TargetMode="External"/><Relationship Id="rId20" Type="http://schemas.openxmlformats.org/officeDocument/2006/relationships/hyperlink" Target="https://my.lwv.org/sites/default/files/leagues/wysiwyg/%5Bcurrent-user:og-user-node:1:title%5D/project_2025_bold_attack_ejeh_and_climate.pdf" TargetMode="External"/><Relationship Id="rId21" Type="http://schemas.openxmlformats.org/officeDocument/2006/relationships/hyperlink" Target="https://www.stackage.org/lts-16.31/package/aura-3.1.9" TargetMode="External"/><Relationship Id="rId22" Type="http://schemas.openxmlformats.org/officeDocument/2006/relationships/hyperlink" Target="https://en.wikipedia.org/wiki/Project_2025" TargetMode="External"/><Relationship Id="rId23" Type="http://schemas.openxmlformats.org/officeDocument/2006/relationships/hyperlink" Target="https://www.youtube.com/watch?v=ykxBEk7Rnfc" TargetMode="External"/><Relationship Id="rId24" Type="http://schemas.openxmlformats.org/officeDocument/2006/relationships/hyperlink" Target="https://magazine.krieger.jhu.edu/2018/11/the-science-of-speculation/" TargetMode="External"/><Relationship Id="rId25" Type="http://schemas.openxmlformats.org/officeDocument/2006/relationships/hyperlink" Target="https://abcnews.go.com/Politics/project-2025-conservative-presidential-list/story?id=111952315" TargetMode="External"/><Relationship Id="rId26" Type="http://schemas.openxmlformats.org/officeDocument/2006/relationships/hyperlink" Target="https://www.youtube.com/watch?v=4MrfCYJYEH8" TargetMode="External"/><Relationship Id="rId27" Type="http://schemas.openxmlformats.org/officeDocument/2006/relationships/hyperlink" Target="https://pmc.ncbi.nlm.nih.gov/articles/PMC9007716/" TargetMode="External"/><Relationship Id="rId28" Type="http://schemas.openxmlformats.org/officeDocument/2006/relationships/hyperlink" Target="https://www.biohubx.com/services/rapid-validation-lab" TargetMode="External"/><Relationship Id="rId29" Type="http://schemas.openxmlformats.org/officeDocument/2006/relationships/hyperlink" Target="https://drug-dev.com/special-feature-outsourcing-analytical-testing-ai-could-transform-analytical-labs/" TargetMode="External"/><Relationship Id="rId30" Type="http://schemas.openxmlformats.org/officeDocument/2006/relationships/hyperlink" Target="https://labtesting.wuxiapptec.com/2023/09/20/bioanalytical-method-development-validation-partner-qualities/" TargetMode="External"/><Relationship Id="rId31" Type="http://schemas.openxmlformats.org/officeDocument/2006/relationships/hyperlink" Target="https://siphoxhealth.com/articles/how-do-white-label-blood-test-partnerships-work" TargetMode="External"/><Relationship Id="rId32" Type="http://schemas.openxmlformats.org/officeDocument/2006/relationships/hyperlink" Target="https://www.nih.gov/research-training/medical-research-initiatives/radx/radx-programs" TargetMode="External"/><Relationship Id="rId33" Type="http://schemas.openxmlformats.org/officeDocument/2006/relationships/hyperlink" Target="https://www.labmanager.com/introduction-to-pharmaceutical-equipment-validation-34136" TargetMode="External"/><Relationship Id="rId34" Type="http://schemas.openxmlformats.org/officeDocument/2006/relationships/hyperlink" Target="https://testlabsuk.com/blog/what-to-consider-when-choosing-your-testing-partner/" TargetMode="External"/><Relationship Id="rId35" Type="http://schemas.openxmlformats.org/officeDocument/2006/relationships/hyperlink" Target="https://corescientific.com/about/mission-vision/" TargetMode="External"/><Relationship Id="rId36" Type="http://schemas.openxmlformats.org/officeDocument/2006/relationships/hyperlink" Target="https://council.science/publications/high-level-strategy/vision-mission-and-core-values/" TargetMode="External"/><Relationship Id="rId37" Type="http://schemas.openxmlformats.org/officeDocument/2006/relationships/hyperlink" Target="https://lpsonline.sas.upenn.edu/features/understanding-goals-science" TargetMode="External"/><Relationship Id="rId38" Type="http://schemas.openxmlformats.org/officeDocument/2006/relationships/hyperlink" Target="https://dcfmodeling.com/blogs/vision/corzz-mission-vision" TargetMode="External"/><Relationship Id="rId39" Type="http://schemas.openxmlformats.org/officeDocument/2006/relationships/hyperlink" Target="https://science.nasa.gov/about-us/science-strategy/" TargetMode="External"/><Relationship Id="rId40" Type="http://schemas.openxmlformats.org/officeDocument/2006/relationships/hyperlink" Target="https://hr.nih.gov/workforce/performance-management/determining-strategic-goals-or-objectives-each-critical-element" TargetMode="External"/><Relationship Id="rId41" Type="http://schemas.openxmlformats.org/officeDocument/2006/relationships/hyperlink" Target="https://www.cgdev.org/blog/how-who-can-deliver-its-core-mission-science-knowledge-and-evidence" TargetMode="External"/><Relationship Id="rId42" Type="http://schemas.openxmlformats.org/officeDocument/2006/relationships/hyperlink" Target="https://insight7.io/how-to-develop-a-research-hypothesis-effectively/" TargetMode="External"/><Relationship Id="rId43" Type="http://schemas.openxmlformats.org/officeDocument/2006/relationships/hyperlink" Target="https://www.njit.edu/precollege/sites/njit.edu.precollege/files/lcms/docs/RET_2012_-_Translating_a_research_question_into_a_testable_hypothesis.pdf" TargetMode="External"/><Relationship Id="rId44" Type="http://schemas.openxmlformats.org/officeDocument/2006/relationships/hyperlink" Target="https://fastercapital.com/topics/formulating-a-clear-and-testable-hypothesis.html/1" TargetMode="External"/><Relationship Id="rId45" Type="http://schemas.openxmlformats.org/officeDocument/2006/relationships/hyperlink" Target="https://www.statsig.com/perspectives/experimental-hypothesis-testable-ideas" TargetMode="External"/><Relationship Id="rId46" Type="http://schemas.openxmlformats.org/officeDocument/2006/relationships/hyperlink" Target="https://pmc.ncbi.nlm.nih.gov/articles/PMC3723489/" TargetMode="External"/><Relationship Id="rId47" Type="http://schemas.openxmlformats.org/officeDocument/2006/relationships/hyperlink" Target="https://www.strategyzer.com/library/mastering-business-testing-formulating-strong-hypotheses" TargetMode="External"/><Relationship Id="rId48" Type="http://schemas.openxmlformats.org/officeDocument/2006/relationships/hyperlink" Target="https://www.statsig.com/perspectives/hypothesis-analysis-testable-experiments" TargetMode="External"/><Relationship Id="rId49" Type="http://schemas.openxmlformats.org/officeDocument/2006/relationships/hyperlink" Target="https://pmc.ncbi.nlm.nih.gov/articles/PMC5846748/" TargetMode="External"/><Relationship Id="rId50" Type="http://schemas.openxmlformats.org/officeDocument/2006/relationships/hyperlink" Target="https://www.csub.edu/~ddodenhoff/bio100/bio100sp04/formattingahypothesis.htm" TargetMode="External"/><Relationship Id="rId51" Type="http://schemas.openxmlformats.org/officeDocument/2006/relationships/hyperlink" Target="https://www.towerhamlets.gov.uk/lgnl/education_and_learning/research_governance_framework.aspx" TargetMode="External"/><Relationship Id="rId52" Type="http://schemas.openxmlformats.org/officeDocument/2006/relationships/hyperlink" Target="https://pmc.ncbi.nlm.nih.gov/articles/PMC8722776/" TargetMode="External"/><Relationship Id="rId53" Type="http://schemas.openxmlformats.org/officeDocument/2006/relationships/hyperlink" Target="https://pmc.ncbi.nlm.nih.gov/articles/PMC1325075/" TargetMode="External"/><Relationship Id="rId54" Type="http://schemas.openxmlformats.org/officeDocument/2006/relationships/hyperlink" Target="https://www.infonetica.net/articles/what-is-research-governance-and-compliance" TargetMode="External"/><Relationship Id="rId55" Type="http://schemas.openxmlformats.org/officeDocument/2006/relationships/hyperlink" Target="https://aoir.org/riskyresearchguide/" TargetMode="External"/><Relationship Id="rId56" Type="http://schemas.openxmlformats.org/officeDocument/2006/relationships/hyperlink" Target="https://transportation.libguides.com/researchdatamanagement/dataethics" TargetMode="External"/><Relationship Id="rId57" Type="http://schemas.openxmlformats.org/officeDocument/2006/relationships/hyperlink" Target="https://www.researchprotocols.org/2025/1/e75702" TargetMode="External"/><Relationship Id="rId58" Type="http://schemas.openxmlformats.org/officeDocument/2006/relationships/hyperlink" Target="https://www.ukri.org/councils/esrc/guidance-for-applicants/research-ethics-guidance/" TargetMode="External"/><Relationship Id="rId59" Type="http://schemas.openxmlformats.org/officeDocument/2006/relationships/hyperlink" Target="https://www.youtube.com/watch?v=R2-DzqVhjas" TargetMode="External"/><Relationship Id="rId60" Type="http://schemas.openxmlformats.org/officeDocument/2006/relationships/hyperlink" Target="https://ethics.gc.ca/eng/tcps2-eptc2_2018_chapter2-chapitre2.html" TargetMode="External"/><Relationship Id="rId61" Type="http://schemas.openxmlformats.org/officeDocument/2006/relationships/hyperlink" Target="https://pubmed.ncbi.nlm.nih.gov/17400625/" TargetMode="External"/><Relationship Id="rId62" Type="http://schemas.openxmlformats.org/officeDocument/2006/relationships/hyperlink" Target="https://health.ec.europa.eu/system/files/2017-08/2017_04_25_risk_proportionate_approaches_in_ct_0.pdf" TargetMode="External"/><Relationship Id="rId63" Type="http://schemas.openxmlformats.org/officeDocument/2006/relationships/hyperlink" Target="https://pmc.ncbi.nlm.nih.gov/articles/PMC10865752/" TargetMode="External"/><Relationship Id="rId64" Type="http://schemas.openxmlformats.org/officeDocument/2006/relationships/hyperlink" Target="https://www.hra.nhs.uk/about-us/news-updates/importance-proportionate-risk-based-approach-ethics-approval-hra-view/" TargetMode="External"/><Relationship Id="rId65" Type="http://schemas.openxmlformats.org/officeDocument/2006/relationships/hyperlink" Target="https://www.hra.nhs.uk/approvals-amendments/what-approvals-do-i-need/research-ethics-committee-review/applying-research-ethics-committee/proportionate-review-toolkit/" TargetMode="External"/><Relationship Id="rId66" Type="http://schemas.openxmlformats.org/officeDocument/2006/relationships/hyperlink" Target="https://www.gov.uk/algorithmic-transparency-records/health-research-authority-proportionate-review-toolkit" TargetMode="External"/><Relationship Id="rId67" Type="http://schemas.openxmlformats.org/officeDocument/2006/relationships/hyperlink" Target="https://www.ukri.org/councils/esrc/guidance-for-applicants/research-ethics-guidance/ethics-reviews/our-expectations-of-ethics-review/" TargetMode="External"/><Relationship Id="rId68" Type="http://schemas.openxmlformats.org/officeDocument/2006/relationships/hyperlink" Target="https://www.evidentlyai.com/ml-in-production/model-monitoring" TargetMode="External"/><Relationship Id="rId69" Type="http://schemas.openxmlformats.org/officeDocument/2006/relationships/hyperlink" Target="https://www.towerhamlets.gov.uk/lgnl/education_and_learning/research_governance_framework.aspx" TargetMode="External"/><Relationship Id="rId70" Type="http://schemas.openxmlformats.org/officeDocument/2006/relationships/hyperlink" Target="https://www.infonetica.net/articles/what-is-research-governance-and-compliance" TargetMode="External"/><Relationship Id="rId71" Type="http://schemas.openxmlformats.org/officeDocument/2006/relationships/hyperlink" Target="https://www.youtube.com/watch?v=3VJ5cIxe408" TargetMode="External"/><Relationship Id="rId72" Type="http://schemas.openxmlformats.org/officeDocument/2006/relationships/hyperlink" Target="https://ascend.thentia.com/technology/regulatory-performance-frameworks/" TargetMode="External"/><Relationship Id="rId73" Type="http://schemas.openxmlformats.org/officeDocument/2006/relationships/hyperlink" Target="https://ethics.gc.ca/eng/tcps2-eptc2_2018_chapter2-chapitre2.html" TargetMode="External"/><Relationship Id="rId74" Type="http://schemas.openxmlformats.org/officeDocument/2006/relationships/hyperlink" Target="https://researchethics.ubc.ca/clinical-research-ethics/creb-guidance-notes/ubc-clinical-research-ethics-general-guidance-notes" TargetMode="External"/><Relationship Id="rId75" Type="http://schemas.openxmlformats.org/officeDocument/2006/relationships/hyperlink" Target="https://www.ukri.org/councils/esrc/guidance-for-applicants/research-ethics-guidance/research-organisations-and-research-ethics-committees-our-principles-research-ethics-committees/criteria-for-research-ethics-committee-review/" TargetMode="External"/><Relationship Id="rId76" Type="http://schemas.openxmlformats.org/officeDocument/2006/relationships/hyperlink" Target="https://www.lakeheadu.ca/sites/default/files/profile-data/swright/Guideline%20-%20Guideline%20for%20the%20Review%20of%20More%20than%20Minimal%20Risk%20Projects.pdf" TargetMode="External"/><Relationship Id="rId77" Type="http://schemas.openxmlformats.org/officeDocument/2006/relationships/hyperlink" Target="https://ethics.gc.ca/eng/policy-politique_interpretations_review-evaluation.html" TargetMode="External"/><Relationship Id="rId78" Type="http://schemas.openxmlformats.org/officeDocument/2006/relationships/hyperlink" Target="https://www.hra.nhs.uk/approvals-amendments/what-approvals-do-i-need/research-ethics-committee-review/applying-research-ethics-committee/proportionate-review-toolkit/" TargetMode="External"/><Relationship Id="rId79" Type="http://schemas.openxmlformats.org/officeDocument/2006/relationships/hyperlink" Target="https://pmc.ncbi.nlm.nih.gov/articles/PMC3192066/" TargetMode="External"/><Relationship Id="rId80" Type="http://schemas.openxmlformats.org/officeDocument/2006/relationships/hyperlink" Target="https://www.douglascollege.ca/about-douglas/learn-about-douglas/research-college/research-ethics-policies/about-research-ethics" TargetMode="External"/><Relationship Id="rId81" Type="http://schemas.openxmlformats.org/officeDocument/2006/relationships/hyperlink" Target="https://www.smu.ca/hreb/initial-review-guidance.html" TargetMode="External"/><Relationship Id="rId82" Type="http://schemas.openxmlformats.org/officeDocument/2006/relationships/hyperlink" Target="https://researchsupport.admin.ox.ac.uk/governance/ethics/faqs-glossary/faqs" TargetMode="External"/><Relationship Id="rId83" Type="http://schemas.openxmlformats.org/officeDocument/2006/relationships/hyperlink" Target="https://umanitoba.ca/research/sites/research/files/2024-08/determining-reb-review-type-guidelines-august-2024.pdf" TargetMode="External"/><Relationship Id="rId84" Type="http://schemas.openxmlformats.org/officeDocument/2006/relationships/hyperlink" Target="https://www.unbc.ca/sites/default/files/sections/office-research-and-innovation/researchriskassessmentguidelines.pdf" TargetMode="External"/><Relationship Id="rId85" Type="http://schemas.openxmlformats.org/officeDocument/2006/relationships/hyperlink" Target="https://www.tc.columbia.edu/institutional-review-board/irb-blog/2023/ways-to-minimize-human-subjects-research-risk/" TargetMode="External"/><Relationship Id="rId86" Type="http://schemas.openxmlformats.org/officeDocument/2006/relationships/hyperlink" Target="https://ethics.gc.ca/eng/tcps2-eptc2_2018_chapter2-chapitre2.html" TargetMode="External"/><Relationship Id="rId87" Type="http://schemas.openxmlformats.org/officeDocument/2006/relationships/hyperlink" Target="https://researchethics.ubc.ca/clinical-research-ethics/creb-guidance-notes/ubc-clinical-research-ethics-general-guidance-notes" TargetMode="External"/><Relationship Id="rId88" Type="http://schemas.openxmlformats.org/officeDocument/2006/relationships/hyperlink" Target="https://abilitiescentre.org/Abilities/media/images/REB-SOP-010_Delegated-Review.pdf" TargetMode="External"/><Relationship Id="rId89" Type="http://schemas.openxmlformats.org/officeDocument/2006/relationships/hyperlink" Target="https://sbnsoftware.com/blog/how-to-monitor-and-review-risk-mitigation-efforts/" TargetMode="External"/><Relationship Id="rId90" Type="http://schemas.openxmlformats.org/officeDocument/2006/relationships/hyperlink" Target="https://researchethics.ubc.ca/sites/default/files/documents/SOP%20402%20DELEGATED%20REVIEW%20-%20final.doc" TargetMode="External"/><Relationship Id="rId91" Type="http://schemas.openxmlformats.org/officeDocument/2006/relationships/hyperlink" Target="https://www.lakeheadu.ca/sites/default/files/profile-data/swright/Guideline%20-%20Guideline%20for%20the%20Review%20of%20More%20than%20Minimal%20Risk%20Projects.pdf" TargetMode="External"/><Relationship Id="rId92" Type="http://schemas.openxmlformats.org/officeDocument/2006/relationships/hyperlink" Target="https://ethics.gc.ca/eng/reb-cer_minimal_risk_research-recherche_risque_minimal.html" TargetMode="External"/><Relationship Id="rId93" Type="http://schemas.openxmlformats.org/officeDocument/2006/relationships/hyperlink" Target="https://research.utoronto.ca/ethics-human-research/determine-if-protocol-qualifies-delegated-review" TargetMode="External"/><Relationship Id="rId94" Type="http://schemas.openxmlformats.org/officeDocument/2006/relationships/hyperlink" Target="https://ethics.gc.ca/eng/policy-politique_interpretations_review-evaluation.html" TargetMode="External"/><Relationship Id="rId95" Type="http://schemas.openxmlformats.org/officeDocument/2006/relationships/hyperlink" Target="https://www.hra.nhs.uk/approvals-amendments/what-approvals-do-i-need/research-ethics-committee-review/applying-research-ethics-committee/proportionate-review-toolkit/" TargetMode="External"/><Relationship Id="rId96" Type="http://schemas.openxmlformats.org/officeDocument/2006/relationships/hyperlink" Target="https://ethics.gc.ca/eng/tcps2-eptc2_2018_chapter2-chapitre2.html" TargetMode="External"/><Relationship Id="rId97" Type="http://schemas.openxmlformats.org/officeDocument/2006/relationships/hyperlink" Target="https://www.hra.nhs.uk/about-us/news-updates/importance-proportionate-risk-based-approach-ethics-approval-hra-view/" TargetMode="External"/><Relationship Id="rId98" Type="http://schemas.openxmlformats.org/officeDocument/2006/relationships/hyperlink" Target="https://www.evidentlyai.com/ml-in-production/model-monitoring" TargetMode="External"/><Relationship Id="rId99" Type="http://schemas.openxmlformats.org/officeDocument/2006/relationships/hyperlink" Target="https://ease.org.uk/communities/peer-review-committee/peer-review-toolkit/how-to-select-reviewers/" TargetMode="External"/><Relationship Id="rId100" Type="http://schemas.openxmlformats.org/officeDocument/2006/relationships/hyperlink" Target="https://www.councilscienceeditors.org/2-3-reviewer-roles-and-responsibilities" TargetMode="External"/><Relationship Id="rId101" Type="http://schemas.openxmlformats.org/officeDocument/2006/relationships/hyperlink" Target="https://blog.cellsignal.com/peer-review-succcess" TargetMode="External"/><Relationship Id="rId102" Type="http://schemas.openxmlformats.org/officeDocument/2006/relationships/hyperlink" Target="https://www.springer.com/gp/editorial-policies/peer-review-policy-process" TargetMode="External"/><Relationship Id="rId103" Type="http://schemas.openxmlformats.org/officeDocument/2006/relationships/hyperlink" Target="https://www.youtube.com/watch?v=1r2IyF5TiSE" TargetMode="External"/><Relationship Id="rId104" Type="http://schemas.openxmlformats.org/officeDocument/2006/relationships/hyperlink" Target="https://www.reviewercredits.com/the-art-of-peer-reviewer-selection-unveiling-a-journal-editors-process/" TargetMode="External"/><Relationship Id="rId105" Type="http://schemas.openxmlformats.org/officeDocument/2006/relationships/hyperlink" Target="https://scientistseessquirrel.wordpress.com/2018/12/20/how-as-an-editor-i-choose-lists-of-reviewers/" TargetMode="External"/><Relationship Id="rId106" Type="http://schemas.openxmlformats.org/officeDocument/2006/relationships/hyperlink" Target="https://www.editage.com/insights/how-to-select-peer-reviewers-advice-from-an-expert-journal-editor" TargetMode="External"/><Relationship Id="rId107" Type="http://schemas.openxmlformats.org/officeDocument/2006/relationships/hyperlink" Target="https://scientific-publishing.webshop.elsevier.com/publication-process/find-and-select-reviewers-for-journal-articles/" TargetMode="External"/><Relationship Id="rId108" Type="http://schemas.openxmlformats.org/officeDocument/2006/relationships/hyperlink" Target="https://editorresources.taylorandfrancis.com/managing-peer-review-process/how-to-find-peer-reviewers-an-editors-guide/" TargetMode="External"/><Relationship Id="rId109" Type="http://schemas.openxmlformats.org/officeDocument/2006/relationships/hyperlink" Target="https://mha-it.com/blog/four-types-of-risk-mitigation" TargetMode="External"/><Relationship Id="rId110" Type="http://schemas.openxmlformats.org/officeDocument/2006/relationships/hyperlink" Target="https://www.ncbi.nlm.nih.gov/books/NBK217976/" TargetMode="External"/><Relationship Id="rId111" Type="http://schemas.openxmlformats.org/officeDocument/2006/relationships/hyperlink" Target="https://sbnsoftware.com/blog/what-best-practices-should-be-followed-for-risk-mitigation/" TargetMode="External"/><Relationship Id="rId112" Type="http://schemas.openxmlformats.org/officeDocument/2006/relationships/hyperlink" Target="https://www.scrut.io/post/risk-management-techniques" TargetMode="External"/><Relationship Id="rId113" Type="http://schemas.openxmlformats.org/officeDocument/2006/relationships/hyperlink" Target="https://www.advarra.com/blog/beginners-guide-to-minimal-risk-research/" TargetMode="External"/><Relationship Id="rId114" Type="http://schemas.openxmlformats.org/officeDocument/2006/relationships/hyperlink" Target="https://ohrpp.research.ucla.edu/assessing-risks/" TargetMode="External"/><Relationship Id="rId115" Type="http://schemas.openxmlformats.org/officeDocument/2006/relationships/hyperlink" Target="https://irb.ucsf.edu/levels-review" TargetMode="External"/><Relationship Id="rId116" Type="http://schemas.openxmlformats.org/officeDocument/2006/relationships/hyperlink" Target="https://www.uoguelph.ca/research/support-document/how-do-i-determine-level-risk-my-project" TargetMode="External"/><Relationship Id="rId117" Type="http://schemas.openxmlformats.org/officeDocument/2006/relationships/hyperlink" Target="https://auditboard.com/blog/risk-mitigation" TargetMode="External"/><Relationship Id="rId118" Type="http://schemas.openxmlformats.org/officeDocument/2006/relationships/hyperlink" Target="https://www.alertmedia.com/blog/risk-mitigation-strategies/" TargetMode="External"/><Relationship Id="rId119" Type="http://schemas.openxmlformats.org/officeDocument/2006/relationships/hyperlink" Target="https://researchethics.ubc.ca/sites/default/files/documents/SOP%20402%20DELEGATED%20REVIEW%20-%20final.doc" TargetMode="External"/><Relationship Id="rId120" Type="http://schemas.openxmlformats.org/officeDocument/2006/relationships/hyperlink" Target="https://www.brany.com/the-delegation-of-duties-where-the-buck-stops/" TargetMode="External"/><Relationship Id="rId121" Type="http://schemas.openxmlformats.org/officeDocument/2006/relationships/hyperlink" Target="https://myscrs.org/wp-content/uploads/2019/10/TransCelerate_Site-Signature-and-Delegation-of-Responsibilities-Log-Guidance-Document-V2.0-Q3-2019.pdf" TargetMode="External"/><Relationship Id="rId122" Type="http://schemas.openxmlformats.org/officeDocument/2006/relationships/hyperlink" Target="https://sunnybrook.ca/uploads/1/hrpp/reb-sop-iv-02-004-delegated-review-procedure.pdf" TargetMode="External"/><Relationship Id="rId123" Type="http://schemas.openxmlformats.org/officeDocument/2006/relationships/hyperlink" Target="https://19january2021snapshot.epa.gov/sites/static/files/2015-09/documents/intro_to_delegated_qa_approving_officers_training.pdf" TargetMode="External"/><Relationship Id="rId124" Type="http://schemas.openxmlformats.org/officeDocument/2006/relationships/hyperlink" Target="https://elsmar.com/elsmarqualityforum/threads/evidence-of-review-and-approval.656/" TargetMode="External"/><Relationship Id="rId125" Type="http://schemas.openxmlformats.org/officeDocument/2006/relationships/hyperlink" Target="https://experienceleague.adobe.com/en/docs/workfront/using/review-and-approve-work/work-approvals/delegate-approval-requests" TargetMode="External"/><Relationship Id="rId126" Type="http://schemas.openxmlformats.org/officeDocument/2006/relationships/hyperlink" Target="https://grants.nih.gov/policy-and-compliance/policy-topics/research-integrity/confidentiality-peer-review" TargetMode="External"/><Relationship Id="rId127" Type="http://schemas.openxmlformats.org/officeDocument/2006/relationships/hyperlink" Target="https://www.redactable.com/blog/protecting-confidential-information-best-security-practices" TargetMode="External"/><Relationship Id="rId128" Type="http://schemas.openxmlformats.org/officeDocument/2006/relationships/hyperlink" Target="https://www.advarra.com/blog/beginners-guide-to-minimal-risk-research/" TargetMode="External"/><Relationship Id="rId129" Type="http://schemas.openxmlformats.org/officeDocument/2006/relationships/hyperlink" Target="https://nvlpubs.nist.gov/nistpubs/legacy/sp/nistspecialpublication800-122.pdf" TargetMode="External"/><Relationship Id="rId130" Type="http://schemas.openxmlformats.org/officeDocument/2006/relationships/hyperlink" Target="https://baerreed.com/document-review-special-considerations-with-confidentiality-protective-orders/" TargetMode="External"/><Relationship Id="rId131" Type="http://schemas.openxmlformats.org/officeDocument/2006/relationships/hyperlink" Target="https://irb.ucsf.edu/levels-review" TargetMode="External"/><Relationship Id="rId132" Type="http://schemas.openxmlformats.org/officeDocument/2006/relationships/hyperlink" Target="https://www.hhs.gov/ohrp/sachrp-committee/recommendations/2015-september-28-attachment-a/index.html" TargetMode="External"/><Relationship Id="rId133" Type="http://schemas.openxmlformats.org/officeDocument/2006/relationships/hyperlink" Target="https://phrptraining.com/news/privacy-vs-confidentiality-phrp" TargetMode="External"/><Relationship Id="rId134" Type="http://schemas.openxmlformats.org/officeDocument/2006/relationships/hyperlink" Target="https://research.utoronto.ca/ethics-human-research/determine-if-protocol-qualifies-delegated-review" TargetMode="External"/><Relationship Id="rId135" Type="http://schemas.openxmlformats.org/officeDocument/2006/relationships/hyperlink" Target="https://www.samhsa.gov/grants/grants-management/measurement-tools/certificate-confidentiality" TargetMode="External"/><Relationship Id="rId136" Type="http://schemas.openxmlformats.org/officeDocument/2006/relationships/hyperlink" Target="https://grants.nih.gov/policy-and-compliance/policy-topics/human-subjects/coc/suggested-consent" TargetMode="External"/><Relationship Id="rId137" Type="http://schemas.openxmlformats.org/officeDocument/2006/relationships/hyperlink" Target="https://www.linkedin.com/pulse/using-ai-peer-review-breach-confidentiality" TargetMode="External"/><Relationship Id="rId138" Type="http://schemas.openxmlformats.org/officeDocument/2006/relationships/hyperlink" Target="https://research.washu.edu/announcements/peer-review-confidentiality-requirements/" TargetMode="External"/><Relationship Id="rId139" Type="http://schemas.openxmlformats.org/officeDocument/2006/relationships/hyperlink" Target="https://grants.nih.gov/policy-and-compliance/policy-topics/research-integrity/confidentiality-peer-review" TargetMode="External"/><Relationship Id="rId140" Type="http://schemas.openxmlformats.org/officeDocument/2006/relationships/hyperlink" Target="https://researchservices.cornell.edu/policies/irb-guidance-nih-certificates-confidentiality" TargetMode="External"/><Relationship Id="rId141" Type="http://schemas.openxmlformats.org/officeDocument/2006/relationships/hyperlink" Target="https://www.research.va.gov/isrm/csrd/confidentiality.cfm" TargetMode="External"/><Relationship Id="rId142" Type="http://schemas.openxmlformats.org/officeDocument/2006/relationships/hyperlink" Target="https://www.trustpointlegal.com/blog/12-practical-tips-for-reviewing-non-disclosureconfidentiality-agreements" TargetMode="External"/><Relationship Id="rId143" Type="http://schemas.openxmlformats.org/officeDocument/2006/relationships/hyperlink" Target="https://biotech.law.lsu.edu/research/fed/NIH/coc/faqs.htm" TargetMode="External"/><Relationship Id="rId144" Type="http://schemas.openxmlformats.org/officeDocument/2006/relationships/hyperlink" Target="https://www.purdue.edu/legalcounsel/Updated%20HIPAA%20Forms/Policies...%20-%20inadvertentdisclosureprocedures%204%20FINAL.pdf" TargetMode="External"/><Relationship Id="rId145" Type="http://schemas.openxmlformats.org/officeDocument/2006/relationships/hyperlink" Target="https://compliancy-group.com/accidental-disclosure-of-phi/" TargetMode="External"/><Relationship Id="rId146" Type="http://schemas.openxmlformats.org/officeDocument/2006/relationships/hyperlink" Target="https://www.nycbar.org/reports/practical-guidance-on-the-receipt-of-inadvertently-disclosed-confidential-information/" TargetMode="External"/><Relationship Id="rId147" Type="http://schemas.openxmlformats.org/officeDocument/2006/relationships/hyperlink" Target="https://www.hipaajournal.com/accidental-hipaa-violation/" TargetMode="External"/><Relationship Id="rId148" Type="http://schemas.openxmlformats.org/officeDocument/2006/relationships/hyperlink" Target="https://www.hhs.gov/hipaa/for-professionals/privacy/guidance/incidental-uses-and-disclosures/index.html" TargetMode="External"/><Relationship Id="rId149" Type="http://schemas.openxmlformats.org/officeDocument/2006/relationships/hyperlink" Target="https://www.dentons.com/en/insights/articles/2023/july/26/disputes-spotlight-privilege-inadvertent-disclosure-of-privileged-documents" TargetMode="External"/><Relationship Id="rId150" Type="http://schemas.openxmlformats.org/officeDocument/2006/relationships/hyperlink" Target="https://www.aacolpa.com/blog/what-to-do-in-the-case-of-unintentional-disclosure-of-medical-records/" TargetMode="External"/><Relationship Id="rId151" Type="http://schemas.openxmlformats.org/officeDocument/2006/relationships/hyperlink" Target="https://www.onelegal.com/blog/top-tips-for-handling-confidential-documents-at-your-firm/" TargetMode="External"/><Relationship Id="rId152" Type="http://schemas.openxmlformats.org/officeDocument/2006/relationships/hyperlink" Target="https://www.aaml.org/wp-content/uploads/MAT104_2.pdf" TargetMode="External"/><Relationship Id="rId153" Type="http://schemas.openxmlformats.org/officeDocument/2006/relationships/hyperlink" Target="https://www.skofirm.com/news/legal-ethical-and-practical-aspects-of-inadvertent-disclosures/" TargetMode="External"/><Relationship Id="rId154" Type="http://schemas.openxmlformats.org/officeDocument/2006/relationships/hyperlink" Target="https://www.brickergraydon.com/insights/resources/key/HIPAA-Privacy-Regulations-Uses-and-Disclosures-Organizational-Requirements-Business-Associate-Contracts-164-504-e" TargetMode="External"/><Relationship Id="rId155" Type="http://schemas.openxmlformats.org/officeDocument/2006/relationships/hyperlink" Target="https://www.recordrs.com/blog/everything-you-need-to-know-about-hipaa-accounting-of-disclosures/" TargetMode="External"/><Relationship Id="rId156" Type="http://schemas.openxmlformats.org/officeDocument/2006/relationships/hyperlink" Target="https://www.hipaajournal.com/baa-compliance/" TargetMode="External"/><Relationship Id="rId157" Type="http://schemas.openxmlformats.org/officeDocument/2006/relationships/hyperlink" Target="https://www.hhs.gov/hipaa/for-professionals/privacy/guidance/business-associates/index.html" TargetMode="External"/><Relationship Id="rId158" Type="http://schemas.openxmlformats.org/officeDocument/2006/relationships/hyperlink" Target="https://www.hipaajournal.com/hipaa-compliance-for-business-associates/" TargetMode="External"/><Relationship Id="rId159" Type="http://schemas.openxmlformats.org/officeDocument/2006/relationships/hyperlink" Target="https://hipaa.yale.edu/sites/default/files/files/5033-PR.pdf" TargetMode="External"/><Relationship Id="rId160" Type="http://schemas.openxmlformats.org/officeDocument/2006/relationships/hyperlink" Target="https://clearwatersecurity.com/white-papers/hipaa-primer-requirements-for-business-associates/" TargetMode="External"/><Relationship Id="rId161" Type="http://schemas.openxmlformats.org/officeDocument/2006/relationships/hyperlink" Target="https://www.hollandhart.com/business-associates-use-of-information-for-their-own-purposes" TargetMode="External"/><Relationship Id="rId162" Type="http://schemas.openxmlformats.org/officeDocument/2006/relationships/hyperlink" Target="https://www.hhs.gov/hipaa/for-professionals/faq/business-associates/index.html" TargetMode="External"/><Relationship Id="rId163" Type="http://schemas.openxmlformats.org/officeDocument/2006/relationships/hyperlink" Target="https://tax.thomsonreuters.com/blog/how-do-the-hipaa-privacy-rules-apply-to-a-participants-instruction-to-send-their-health-information-to-a-third-party/" TargetMode="External"/><Relationship Id="rId164" Type="http://schemas.openxmlformats.org/officeDocument/2006/relationships/hyperlink" Target="https://www.hipaajournal.com/hipaa-disclosure-accounting/" TargetMode="External"/><Relationship Id="rId165" Type="http://schemas.openxmlformats.org/officeDocument/2006/relationships/hyperlink" Target="https://www.law.cornell.edu/cfr/text/45/164.528" TargetMode="External"/><Relationship Id="rId166" Type="http://schemas.openxmlformats.org/officeDocument/2006/relationships/hyperlink" Target="https://www.paubox.com/blog/understanding-hipaas-accounting-of-disclosures-requirement" TargetMode="External"/><Relationship Id="rId167" Type="http://schemas.openxmlformats.org/officeDocument/2006/relationships/hyperlink" Target="https://hipaatimes.com/should-business-associates-provide-an-accounting-of-disclosures" TargetMode="External"/><Relationship Id="rId168" Type="http://schemas.openxmlformats.org/officeDocument/2006/relationships/hyperlink" Target="https://compliancy-group.com/what-is-a-hipaa-accounting/" TargetMode="External"/><Relationship Id="rId169" Type="http://schemas.openxmlformats.org/officeDocument/2006/relationships/hyperlink" Target="https://www.brickergraydon.com/insights/resources/key/HIPAA-Privacy-Regulations-Accounting-of-Disclosures-of-Protected-Health-Information-Right-to-an-Accounting-164-528-a" TargetMode="External"/><Relationship Id="rId170" Type="http://schemas.openxmlformats.org/officeDocument/2006/relationships/hyperlink" Target="https://www.hhs.gov/hipaa/for-professionals/faq/right-to-an-accounting-of-disclosures/index.html" TargetMode="External"/><Relationship Id="rId171" Type="http://schemas.openxmlformats.org/officeDocument/2006/relationships/hyperlink" Target="https://www.hhs.gov/hipaa/for-professionals/faq/246/do-business-associates-have-obligations/index.html" TargetMode="External"/><Relationship Id="rId172" Type="http://schemas.openxmlformats.org/officeDocument/2006/relationships/hyperlink" Target="https://hipaa.yale.edu/sites/default/files/files/5003-PR-5003-PR1.pdf" TargetMode="External"/><Relationship Id="rId173" Type="http://schemas.openxmlformats.org/officeDocument/2006/relationships/hyperlink" Target="https://compliancy-group.com/business-associate-subcontractor-agreement-subcontractor-baa-explained/" TargetMode="External"/><Relationship Id="rId174" Type="http://schemas.openxmlformats.org/officeDocument/2006/relationships/hyperlink" Target="https://www.accesscorp.com/basa/" TargetMode="External"/><Relationship Id="rId175" Type="http://schemas.openxmlformats.org/officeDocument/2006/relationships/hyperlink" Target="https://www.hipaajournal.com/hipaa-business-associate-agreement/" TargetMode="External"/><Relationship Id="rId176" Type="http://schemas.openxmlformats.org/officeDocument/2006/relationships/hyperlink" Target="https://www.brickergraydon.com/insights/resources/key/hipaa-privacy-regulations-general-rules-for-uses-and-disclosures-of-protected-health-information-disclosures-to-business-associates-164-502-e" TargetMode="External"/><Relationship Id="rId177" Type="http://schemas.openxmlformats.org/officeDocument/2006/relationships/hyperlink" Target="https://mn.gov/dhs/assets/hipaa-buisness-associates_tcm1053-647147.pdf" TargetMode="External"/><Relationship Id="rId178" Type="http://schemas.openxmlformats.org/officeDocument/2006/relationships/hyperlink" Target="https://clearwatersecurity.com/white-papers/hipaa-primer-requirements-for-business-associates/" TargetMode="External"/><Relationship Id="rId179" Type="http://schemas.openxmlformats.org/officeDocument/2006/relationships/hyperlink" Target="https://www.hipaajournal.com/hipaa-disclosure-accounting/" TargetMode="External"/><Relationship Id="rId180" Type="http://schemas.openxmlformats.org/officeDocument/2006/relationships/hyperlink" Target="https://www.law.cornell.edu/cfr/text/45/164.528" TargetMode="External"/><Relationship Id="rId181" Type="http://schemas.openxmlformats.org/officeDocument/2006/relationships/hyperlink" Target="https://www.hipaajournal.com/hipaa-compliance-for-business-associates/" TargetMode="External"/><Relationship Id="rId182" Type="http://schemas.openxmlformats.org/officeDocument/2006/relationships/hyperlink" Target="https://www.hhs.gov/hipaa/for-professionals/covered-entities/sample-business-associate-agreement-provisions/index.html" TargetMode="External"/><Relationship Id="rId183" Type="http://schemas.openxmlformats.org/officeDocument/2006/relationships/hyperlink" Target="https://www.hollandhart.com/avoiding-business-associate-agreements" TargetMode="External"/><Relationship Id="rId184" Type="http://schemas.openxmlformats.org/officeDocument/2006/relationships/hyperlink" Target="https://www.hhs.gov/hipaa/for-professionals/privacy/guidance/business-associates/index.html" TargetMode="External"/><Relationship Id="rId185" Type="http://schemas.openxmlformats.org/officeDocument/2006/relationships/hyperlink" Target="https://www.hhs.gov/hipaa/for-professionals/faq/246/do-business-associates-have-obligations/index.html" TargetMode="External"/><Relationship Id="rId186" Type="http://schemas.openxmlformats.org/officeDocument/2006/relationships/hyperlink" Target="https://www.hipaajournal.com/hipaa-disclosure-accounting/" TargetMode="External"/><Relationship Id="rId187" Type="http://schemas.openxmlformats.org/officeDocument/2006/relationships/hyperlink" Target="https://www.brickergraydon.com/insights/resources/key/HIPAA-Privacy-Regulations-Accounting-of-Disclosures-of-Protected-Health-Information-Content-of-the-Accounting-164-528-b" TargetMode="External"/><Relationship Id="rId188" Type="http://schemas.openxmlformats.org/officeDocument/2006/relationships/hyperlink" Target="https://www.face2gene.com/business-associate-addendum/" TargetMode="External"/><Relationship Id="rId189" Type="http://schemas.openxmlformats.org/officeDocument/2006/relationships/hyperlink" Target="https://www.hhs.gov/hipaa/for-professionals/covered-entities/sample-business-associate-agreement-provisions/index.html" TargetMode="External"/><Relationship Id="rId190" Type="http://schemas.openxmlformats.org/officeDocument/2006/relationships/hyperlink" Target="https://www.hipaajournal.com/hipaa-business-associate-agreement/" TargetMode="External"/><Relationship Id="rId191" Type="http://schemas.openxmlformats.org/officeDocument/2006/relationships/hyperlink" Target="https://compliancy-group.com/business-associate-subcontractor-agreement-subcontractor-baa-explained/" TargetMode="External"/><Relationship Id="rId192" Type="http://schemas.openxmlformats.org/officeDocument/2006/relationships/hyperlink" Target="https://partner.medica.com/providers/medica-administrative-manual/provider-responsibilities/hipaa-business-associate-requirements-for-providers" TargetMode="External"/><Relationship Id="rId193" Type="http://schemas.openxmlformats.org/officeDocument/2006/relationships/hyperlink" Target="https://clearwatersecurity.com/white-papers/hipaa-primer-requirements-for-business-associates/" TargetMode="External"/><Relationship Id="rId194" Type="http://schemas.openxmlformats.org/officeDocument/2006/relationships/hyperlink" Target="https://www.precisepk.com/business-associate-agreement" TargetMode="External"/><Relationship Id="rId195" Type="http://schemas.openxmlformats.org/officeDocument/2006/relationships/hyperlink" Target="https://www.hollandhart.com/business-associate-agreements-requirements-and-suggestions" TargetMode="External"/><Relationship Id="rId196" Type="http://schemas.openxmlformats.org/officeDocument/2006/relationships/hyperlink" Target="https://www.law.cornell.edu/cfr/text/45/164.528" TargetMode="External"/><Relationship Id="rId197" Type="http://schemas.openxmlformats.org/officeDocument/2006/relationships/hyperlink" Target="https://www.hhs.gov/hipaa/for-professionals/faq/right-to-an-accounting-of-disclosures/index.html" TargetMode="External"/><Relationship Id="rId198" Type="http://schemas.openxmlformats.org/officeDocument/2006/relationships/hyperlink" Target="https://www.hipaajournal.com/hipaa-compliance-for-business-associates/" TargetMode="External"/><Relationship Id="rId199" Type="http://schemas.openxmlformats.org/officeDocument/2006/relationships/hyperlink" Target="https://www.brickergraydon.com/insights/resources/key/HIPAA-Privacy-Regulations-Accounting-of-Disclosures-of-Protected-Health-Information-Right-to-an-Accounting-164-528-a" TargetMode="External"/><Relationship Id="rId200" Type="http://schemas.openxmlformats.org/officeDocument/2006/relationships/hyperlink" Target="https://www.hipaajournal.com/hipaa-disclosure-accounting/" TargetMode="External"/><Relationship Id="rId201" Type="http://schemas.openxmlformats.org/officeDocument/2006/relationships/hyperlink" Target="https://www.hollandhart.com/business-associate-agreements-requirements-and-suggestions" TargetMode="External"/><Relationship Id="rId202" Type="http://schemas.openxmlformats.org/officeDocument/2006/relationships/hyperlink" Target="https://www.hipaajournal.com/hipaa-business-associate-agreement/" TargetMode="External"/><Relationship Id="rId203" Type="http://schemas.openxmlformats.org/officeDocument/2006/relationships/hyperlink" Target="https://www.face2gene.com/business-associate-addendum/" TargetMode="External"/><Relationship Id="rId204" Type="http://schemas.openxmlformats.org/officeDocument/2006/relationships/hyperlink" Target="https://compliancy-group.com/business-associate-subcontractor-agreement-subcontractor-baa-explained/" TargetMode="External"/><Relationship Id="rId205" Type="http://schemas.openxmlformats.org/officeDocument/2006/relationships/hyperlink" Target="https://www.accesscorp.com/basa/" TargetMode="External"/><Relationship Id="rId206" Type="http://schemas.openxmlformats.org/officeDocument/2006/relationships/hyperlink" Target="https://clearwatersecurity.com/white-papers/hipaa-primer-requirements-for-business-associates/" TargetMode="External"/><Relationship Id="rId207" Type="http://schemas.openxmlformats.org/officeDocument/2006/relationships/hyperlink" Target="https://partner.medica.com/providers/medica-administrative-manual/provider-responsibilities/hipaa-business-associate-requirements-for-providers" TargetMode="External"/><Relationship Id="rId208" Type="http://schemas.openxmlformats.org/officeDocument/2006/relationships/hyperlink" Target="https://www.law.cornell.edu/cfr/text/45/164.528" TargetMode="External"/><Relationship Id="rId209" Type="http://schemas.openxmlformats.org/officeDocument/2006/relationships/hyperlink" Target="https://www.hollandhart.com/business-associates-use-of-information-for-their-own-purposes" TargetMode="External"/><Relationship Id="rId210" Type="http://schemas.openxmlformats.org/officeDocument/2006/relationships/hyperlink" Target="https://pearlhealth.com/policies/baa/" TargetMode="External"/><Relationship Id="rId211" Type="http://schemas.openxmlformats.org/officeDocument/2006/relationships/hyperlink" Target="https://www.hhs.gov/hipaa/for-professionals/privacy/guidance/business-associates/index.html" TargetMode="External"/><Relationship Id="rId212" Type="http://schemas.openxmlformats.org/officeDocument/2006/relationships/hyperlink" Target="https://www.hhs.gov/hipaa/for-professionals/faq/246/do-business-associates-have-obligations/index.html" TargetMode="External"/><Relationship Id="rId213" Type="http://schemas.openxmlformats.org/officeDocument/2006/relationships/hyperlink" Target="https://www.hhs.gov/hipaa/for-professionals/faq/right-to-an-accounting-of-disclosures/index.html" TargetMode="External"/><Relationship Id="rId214" Type="http://schemas.openxmlformats.org/officeDocument/2006/relationships/hyperlink" Target="https://www.hipaajournal.com/hipaa-compliance-for-business-associates/" TargetMode="External"/><Relationship Id="rId215" Type="http://schemas.openxmlformats.org/officeDocument/2006/relationships/hyperlink" Target="https://www.brickergraydon.com/insights/resources/key/HIPAA-Privacy-Regulations-Accounting-of-Disclosures-of-Protected-Health-Information-Right-to-an-Accounting-164-528-a" TargetMode="External"/><Relationship Id="rId216" Type="http://schemas.openxmlformats.org/officeDocument/2006/relationships/hyperlink" Target="https://www.hipaajournal.com/hipaa-disclosure-accounting/" TargetMode="External"/><Relationship Id="rId217" Type="http://schemas.openxmlformats.org/officeDocument/2006/relationships/hyperlink" Target="https://www.hollandhart.com/business-associate-agreements-requirements-and-suggestions" TargetMode="External"/><Relationship Id="rId218" Type="http://schemas.openxmlformats.org/officeDocument/2006/relationships/hyperlink" Target="https://www.hipaajournal.com/hipaa-business-associate-agreement/" TargetMode="External"/><Relationship Id="rId219" Type="http://schemas.openxmlformats.org/officeDocument/2006/relationships/hyperlink" Target="https://www.face2gene.com/business-associate-addendum/" TargetMode="External"/><Relationship Id="rId220" Type="http://schemas.openxmlformats.org/officeDocument/2006/relationships/hyperlink" Target="https://compliancy-group.com/business-associate-subcontractor-agreement-subcontractor-baa-explained/" TargetMode="External"/><Relationship Id="rId221" Type="http://schemas.openxmlformats.org/officeDocument/2006/relationships/hyperlink" Target="https://www.accesscorp.com/basa/" TargetMode="External"/><Relationship Id="rId222" Type="http://schemas.openxmlformats.org/officeDocument/2006/relationships/hyperlink" Target="https://clearwatersecurity.com/white-papers/hipaa-primer-requirements-for-business-associates/" TargetMode="External"/><Relationship Id="rId223" Type="http://schemas.openxmlformats.org/officeDocument/2006/relationships/hyperlink" Target="https://partner.medica.com/providers/medica-administrative-manual/provider-responsibilities/hipaa-business-associate-requirements-for-providers" TargetMode="External"/><Relationship Id="rId224" Type="http://schemas.openxmlformats.org/officeDocument/2006/relationships/hyperlink" Target="https://www.law.cornell.edu/cfr/text/45/164.528" TargetMode="External"/><Relationship Id="rId225" Type="http://schemas.openxmlformats.org/officeDocument/2006/relationships/hyperlink" Target="https://www.hollandhart.com/business-associates-use-of-information-for-their-own-purposes" TargetMode="External"/><Relationship Id="rId226" Type="http://schemas.openxmlformats.org/officeDocument/2006/relationships/hyperlink" Target="https://www.hhs.gov/hipaa/for-professionals/faq/246/do-business-associates-have-obligations/index.html" TargetMode="External"/><Relationship Id="rId227" Type="http://schemas.openxmlformats.org/officeDocument/2006/relationships/hyperlink" Target="https://pearlhealth.com/policies/baa/" TargetMode="External"/><Relationship Id="rId228" Type="http://schemas.openxmlformats.org/officeDocument/2006/relationships/hyperlink" Target="https://www.hhs.gov/hipaa/for-professionals/privacy/guidance/business-associates/index.html" TargetMode="External"/><Relationship Id="rId229" Type="http://schemas.openxmlformats.org/officeDocument/2006/relationships/hyperlink" Target="https://www.hhs.gov/hipaa/for-professionals/faq/right-to-an-accounting-of-disclosures/index.html" TargetMode="External"/><Relationship Id="rId230" Type="http://schemas.openxmlformats.org/officeDocument/2006/relationships/hyperlink" Target="https://www.brickergraydon.com/insights/resources/key/HIPAA-Privacy-Regulations-Accounting-of-Disclosures-of-Protected-Health-Information-Right-to-an-Accounting-164-528-a" TargetMode="External"/><Relationship Id="rId231" Type="http://schemas.openxmlformats.org/officeDocument/2006/relationships/hyperlink" Target="https://www.law.cornell.edu/cfr/text/45/164.528" TargetMode="External"/><Relationship Id="rId232" Type="http://schemas.openxmlformats.org/officeDocument/2006/relationships/hyperlink" Target="https://www.hipaajournal.com/hipaa-compliance-for-business-associates/" TargetMode="External"/><Relationship Id="rId233" Type="http://schemas.openxmlformats.org/officeDocument/2006/relationships/hyperlink" Target="https://www.hollandhart.com/business-associate-agreements-requirements-and-suggestions" TargetMode="External"/><Relationship Id="rId234" Type="http://schemas.openxmlformats.org/officeDocument/2006/relationships/hyperlink" Target="https://www.hipaajournal.com/hipaa-business-associate-agreement/" TargetMode="External"/><Relationship Id="rId235" Type="http://schemas.openxmlformats.org/officeDocument/2006/relationships/hyperlink" Target="https://www.face2gene.com/business-associate-addendum/" TargetMode="External"/><Relationship Id="rId236" Type="http://schemas.openxmlformats.org/officeDocument/2006/relationships/hyperlink" Target="https://compliancy-group.com/business-associate-subcontractor-agreement-subcontractor-baa-explained/" TargetMode="External"/><Relationship Id="rId237" Type="http://schemas.openxmlformats.org/officeDocument/2006/relationships/hyperlink" Target="https://www.accesscorp.com/basa/" TargetMode="External"/><Relationship Id="rId238" Type="http://schemas.openxmlformats.org/officeDocument/2006/relationships/hyperlink" Target="https://www.hipaajournal.com/hipaa-disclosure-accounting/" TargetMode="External"/><Relationship Id="rId239" Type="http://schemas.openxmlformats.org/officeDocument/2006/relationships/hyperlink" Target="https://clearwatersecurity.com/white-papers/hipaa-primer-requirements-for-business-associates/" TargetMode="External"/><Relationship Id="rId240" Type="http://schemas.openxmlformats.org/officeDocument/2006/relationships/hyperlink" Target="https://partner.medica.com/providers/medica-administrative-manual/provider-responsibilities/hipaa-business-associate-requirements-for-providers" TargetMode="External"/><Relationship Id="rId241" Type="http://schemas.openxmlformats.org/officeDocument/2006/relationships/hyperlink" Target="https://www.venturacounty.gov/general-services-agency/wp-content/uploads/sites/19/2024/05/HIPAA-BAA_Template04-13-24.pdf" TargetMode="External"/><Relationship Id="rId242" Type="http://schemas.openxmlformats.org/officeDocument/2006/relationships/hyperlink" Target="https://oscislaw.com/wp-content/uploads/2020/04/2011_06_HIPAA-AOD-Proposed-Rule-HLD-Newsletter.pdf" TargetMode="External"/><Relationship Id="rId243" Type="http://schemas.openxmlformats.org/officeDocument/2006/relationships/hyperlink" Target="https://schs.dph.ncdhhs.gov/hipaa/guidance/Q&amp;A-Accounting-for-disclosures.pdf" TargetMode="External"/><Relationship Id="rId244" Type="http://schemas.openxmlformats.org/officeDocument/2006/relationships/hyperlink" Target="https://www.hhs.gov/hipaa/for-professionals/faq/246/do-business-associates-have-obligations/index.html" TargetMode="External"/><Relationship Id="rId245" Type="http://schemas.openxmlformats.org/officeDocument/2006/relationships/hyperlink" Target="https://www.hhs.gov/hipaa/for-professionals/special-topics/research/index.html" TargetMode="External"/><Relationship Id="rId246" Type="http://schemas.openxmlformats.org/officeDocument/2006/relationships/hyperlink" Target="https://www.federalregister.gov/documents/2011/05/31/2011-13297/hipaa-privacy-rule-accounting-of-disclosures-under-the-health-information-technology-for-economic" TargetMode="External"/><Relationship Id="rId247" Type="http://schemas.openxmlformats.org/officeDocument/2006/relationships/hyperlink" Target="https://hhhealthlawblog.com/use-of-phi-for-non-patient-purposes/" TargetMode="External"/><Relationship Id="rId248" Type="http://schemas.openxmlformats.org/officeDocument/2006/relationships/hyperlink" Target="https://www.brickergraydon.com/insights/resources/key/HIPAA-Privacy-Regulations-Accounting-of-Disclosures-of-Protected-Health-Information-Right-to-an-Accounting-164-528-a" TargetMode="External"/><Relationship Id="rId249" Type="http://schemas.openxmlformats.org/officeDocument/2006/relationships/hyperlink" Target="https://www.hipaajournal.com/hipaa-compliance-for-business-associates/" TargetMode="External"/><Relationship Id="rId250" Type="http://schemas.openxmlformats.org/officeDocument/2006/relationships/hyperlink" Target="https://www.law.cornell.edu/cfr/text/45/164.528" TargetMode="External"/><Relationship Id="rId251" Type="http://schemas.openxmlformats.org/officeDocument/2006/relationships/hyperlink" Target="https://www.hollandhart.com/business-associate-agreements-requirements-and-suggestions" TargetMode="External"/><Relationship Id="rId252" Type="http://schemas.openxmlformats.org/officeDocument/2006/relationships/hyperlink" Target="https://www.hipaajournal.com/hipaa-business-associate-agreement/" TargetMode="External"/><Relationship Id="rId253" Type="http://schemas.openxmlformats.org/officeDocument/2006/relationships/hyperlink" Target="https://compliancy-group.com/business-associate-subcontractor-agreement-subcontractor-baa-explained/" TargetMode="External"/><Relationship Id="rId254" Type="http://schemas.openxmlformats.org/officeDocument/2006/relationships/hyperlink" Target="https://www.accesscorp.com/basa/" TargetMode="External"/><Relationship Id="rId255" Type="http://schemas.openxmlformats.org/officeDocument/2006/relationships/hyperlink" Target="https://www.face2gene.com/business-associate-addendum/" TargetMode="External"/><Relationship Id="rId256" Type="http://schemas.openxmlformats.org/officeDocument/2006/relationships/hyperlink" Target="https://www.hipaajournal.com/hipaa-disclosure-accounting/" TargetMode="External"/><Relationship Id="rId257" Type="http://schemas.openxmlformats.org/officeDocument/2006/relationships/hyperlink" Target="https://partner.medica.com/providers/medica-administrative-manual/provider-responsibilities/hipaa-business-associate-requirements-for-providers" TargetMode="External"/><Relationship Id="rId258" Type="http://schemas.openxmlformats.org/officeDocument/2006/relationships/hyperlink" Target="https://clearwatersecurity.com/white-papers/hipaa-primer-requirements-for-business-associates/" TargetMode="External"/><Relationship Id="rId259" Type="http://schemas.openxmlformats.org/officeDocument/2006/relationships/hyperlink" Target="https://pearlhealth.com/policies/baa/" TargetMode="External"/><Relationship Id="rId260" Type="http://schemas.openxmlformats.org/officeDocument/2006/relationships/hyperlink" Target="https://stratishealth.org/wp-content/uploads/2020/07/4-Business-Associate-and-Other-Agreements.pdf" TargetMode="External"/><Relationship Id="rId261" Type="http://schemas.openxmlformats.org/officeDocument/2006/relationships/hyperlink" Target="https://www.hollandhart.com/hipaa-checklist-covered-entities" TargetMode="External"/><Relationship Id="rId262" Type="http://schemas.openxmlformats.org/officeDocument/2006/relationships/hyperlink" Target="https://www.hhs.gov/hipaa/for-professionals/covered-entities/sample-business-associate-agreement-provisions/index.html" TargetMode="External"/><Relationship Id="rId263" Type="http://schemas.openxmlformats.org/officeDocument/2006/relationships/hyperlink" Target="https://www.hhs.gov/hipaa/for-professionals/privacy/guidance/business-associates/index.htm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2025-09-03T21:45:58.333Z</dcterms:created>
  <dcterms:modified xsi:type="dcterms:W3CDTF">2025-09-03T21:45:58.333Z</dcterms:modified>
</cp:coreProperties>
</file>