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A477A"/>
          <w:sz w:val="48"/>
        </w:rPr>
        <w:t>TopHash Exactification Stack</w:t>
      </w:r>
    </w:p>
    <w:p>
      <w:pPr>
        <w:pStyle w:val="Subtitle"/>
      </w:pPr>
      <w:r>
        <w:t>Technical specification and architecture for evolving TopHash from an approximate structural fingerprint into a confirmed structural fingerprint, exact canonical representation, and complete graph invariant stack.</w:t>
      </w:r>
    </w:p>
    <w:tbl>
      <w:tblPr>
        <w:tblW w:type="auto" w:w="0"/>
        <w:jc w:val="left"/>
        <w:tblLayout w:type="fixed"/>
        <w:tblLook w:firstColumn="1" w:firstRow="1" w:lastColumn="0" w:lastRow="0" w:noHBand="0" w:noVBand="1" w:val="04A0"/>
      </w:tblPr>
      <w:tblGrid>
        <w:gridCol w:w="4824"/>
        <w:gridCol w:w="4824"/>
      </w:tblGrid>
      <w:tr>
        <w:tc>
          <w:tcPr>
            <w:tcW w:type="dxa" w:w="2880"/>
            <w:tcMar>
              <w:top w:w="80" w:type="dxa"/>
              <w:start w:w="100" w:type="dxa"/>
              <w:bottom w:w="80" w:type="dxa"/>
              <w:end w:w="100" w:type="dxa"/>
            </w:tcMar>
            <w:vAlign w:val="center"/>
            <w:shd w:fill="D9E7F5"/>
          </w:tcPr>
          <w:p>
            <w:r>
              <w:rPr>
                <w:b/>
                <w:color w:val="1A477A"/>
                <w:sz w:val="19"/>
              </w:rPr>
              <w:t>Document status</w:t>
            </w:r>
          </w:p>
        </w:tc>
        <w:tc>
          <w:tcPr>
            <w:tcW w:type="dxa" w:w="7056"/>
            <w:tcMar>
              <w:top w:w="80" w:type="dxa"/>
              <w:start w:w="100" w:type="dxa"/>
              <w:bottom w:w="80" w:type="dxa"/>
              <w:end w:w="100" w:type="dxa"/>
            </w:tcMar>
            <w:vAlign w:val="center"/>
          </w:tcPr>
          <w:p>
            <w:r>
              <w:rPr>
                <w:sz w:val="19"/>
              </w:rPr>
              <w:t>Concept + engineering specification</w:t>
            </w:r>
          </w:p>
        </w:tc>
      </w:tr>
      <w:tr>
        <w:tc>
          <w:tcPr>
            <w:tcW w:type="dxa" w:w="2880"/>
            <w:tcMar>
              <w:top w:w="80" w:type="dxa"/>
              <w:start w:w="100" w:type="dxa"/>
              <w:bottom w:w="80" w:type="dxa"/>
              <w:end w:w="100" w:type="dxa"/>
            </w:tcMar>
            <w:vAlign w:val="center"/>
            <w:shd w:fill="D9E7F5"/>
          </w:tcPr>
          <w:p>
            <w:r>
              <w:rPr>
                <w:b/>
                <w:color w:val="1A477A"/>
                <w:sz w:val="19"/>
              </w:rPr>
              <w:t>Version</w:t>
            </w:r>
          </w:p>
        </w:tc>
        <w:tc>
          <w:tcPr>
            <w:tcW w:type="dxa" w:w="7056"/>
            <w:tcMar>
              <w:top w:w="80" w:type="dxa"/>
              <w:start w:w="100" w:type="dxa"/>
              <w:bottom w:w="80" w:type="dxa"/>
              <w:end w:w="100" w:type="dxa"/>
            </w:tcMar>
            <w:vAlign w:val="center"/>
          </w:tcPr>
          <w:p>
            <w:r>
              <w:rPr>
                <w:sz w:val="19"/>
              </w:rPr>
              <w:t>1.0</w:t>
            </w:r>
          </w:p>
        </w:tc>
      </w:tr>
      <w:tr>
        <w:tc>
          <w:tcPr>
            <w:tcW w:type="dxa" w:w="2880"/>
            <w:tcMar>
              <w:top w:w="80" w:type="dxa"/>
              <w:start w:w="100" w:type="dxa"/>
              <w:bottom w:w="80" w:type="dxa"/>
              <w:end w:w="100" w:type="dxa"/>
            </w:tcMar>
            <w:vAlign w:val="center"/>
            <w:shd w:fill="D9E7F5"/>
          </w:tcPr>
          <w:p>
            <w:r>
              <w:rPr>
                <w:b/>
                <w:color w:val="1A477A"/>
                <w:sz w:val="19"/>
              </w:rPr>
              <w:t>Prepared on</w:t>
            </w:r>
          </w:p>
        </w:tc>
        <w:tc>
          <w:tcPr>
            <w:tcW w:type="dxa" w:w="7056"/>
            <w:tcMar>
              <w:top w:w="80" w:type="dxa"/>
              <w:start w:w="100" w:type="dxa"/>
              <w:bottom w:w="80" w:type="dxa"/>
              <w:end w:w="100" w:type="dxa"/>
            </w:tcMar>
            <w:vAlign w:val="center"/>
          </w:tcPr>
          <w:p>
            <w:r>
              <w:rPr>
                <w:sz w:val="19"/>
              </w:rPr>
              <w:t>23 March 2026</w:t>
            </w:r>
          </w:p>
        </w:tc>
      </w:tr>
      <w:tr>
        <w:tc>
          <w:tcPr>
            <w:tcW w:type="dxa" w:w="2880"/>
            <w:tcMar>
              <w:top w:w="80" w:type="dxa"/>
              <w:start w:w="100" w:type="dxa"/>
              <w:bottom w:w="80" w:type="dxa"/>
              <w:end w:w="100" w:type="dxa"/>
            </w:tcMar>
            <w:vAlign w:val="center"/>
            <w:shd w:fill="D9E7F5"/>
          </w:tcPr>
          <w:p>
            <w:r>
              <w:rPr>
                <w:b/>
                <w:color w:val="1A477A"/>
                <w:sz w:val="19"/>
              </w:rPr>
              <w:t>Authoring basis</w:t>
            </w:r>
          </w:p>
        </w:tc>
        <w:tc>
          <w:tcPr>
            <w:tcW w:type="dxa" w:w="7056"/>
            <w:tcMar>
              <w:top w:w="80" w:type="dxa"/>
              <w:start w:w="100" w:type="dxa"/>
              <w:bottom w:w="80" w:type="dxa"/>
              <w:end w:w="100" w:type="dxa"/>
            </w:tcMar>
            <w:vAlign w:val="center"/>
          </w:tcPr>
          <w:p>
            <w:r>
              <w:rPr>
                <w:sz w:val="19"/>
              </w:rPr>
              <w:t>Derived from the uploaded TopHash v3 specification and expanded exactification architecture (Search, Refine, Canon, Cert, ID).</w:t>
            </w:r>
          </w:p>
        </w:tc>
      </w:tr>
    </w:tbl>
    <w:p/>
    <w:tbl>
      <w:tblPr>
        <w:tblW w:type="auto" w:w="0"/>
        <w:jc w:val="left"/>
        <w:tblLayout w:type="fixed"/>
        <w:tblLook w:firstColumn="1" w:firstRow="1" w:lastColumn="0" w:lastRow="0" w:noHBand="0" w:noVBand="1" w:val="04A0"/>
      </w:tblPr>
      <w:tblGrid>
        <w:gridCol w:w="9648"/>
      </w:tblGrid>
      <w:tr>
        <w:tc>
          <w:tcPr>
            <w:tcW w:type="dxa" w:w="9936"/>
            <w:shd w:fill="F6F9FC"/>
            <w:tcMar>
              <w:top w:w="120" w:type="dxa"/>
              <w:start w:w="160" w:type="dxa"/>
              <w:bottom w:w="120" w:type="dxa"/>
              <w:end w:w="160" w:type="dxa"/>
            </w:tcMar>
          </w:tcPr>
          <w:p>
            <w:pPr/>
            <w:r>
              <w:rPr>
                <w:i/>
                <w:sz w:val="22"/>
              </w:rPr>
              <w:t>Core shift: TopHash remains the fast structural descriptor, but exactness comes from canonization, canonical serialization, and proof objects rather than from adding more compressive vector features.</w:t>
            </w:r>
          </w:p>
        </w:tc>
      </w:tr>
    </w:tbl>
    <w:p/>
    <w:p>
      <w:pPr>
        <w:pStyle w:val="Small"/>
      </w:pPr>
      <w:r>
        <w:t>Prepared for technical planning, product architecture, benchmarking, and implementation scoping.</w:t>
      </w:r>
    </w:p>
    <w:p>
      <w:r>
        <w:br w:type="page"/>
      </w:r>
    </w:p>
    <w:p>
      <w:pPr>
        <w:pStyle w:val="Heading1"/>
        <w:keepNext/>
      </w:pPr>
      <w:r>
        <w:t>1. Executive Summary</w:t>
      </w:r>
    </w:p>
    <w:p>
      <w:pPr/>
      <w:r>
        <w:t>The uploaded TopHash v3 specification already defines a deterministic, training-free, multi-view structural fingerprint for graph search, comparison, and classification. It also explicitly states that TopHash v3 and TopHash v3 Ensemble are structured approximations, not complete graph invariants, and that equal output vectors do not prove graph identity or isomorphism.</w:t>
      </w:r>
    </w:p>
    <w:p>
      <w:pPr/>
      <w:r>
        <w:t>This document defines the exactification path: retain TopHash as the fast structural descriptor and ranking engine, but add an exact canonization layer that transforms each graph into a canonical representation whose serialized form becomes the source of truth for equality, certification, and proof-grade identity.</w:t>
      </w:r>
    </w:p>
    <w:p>
      <w:pPr>
        <w:ind w:left="288" w:hanging="259"/>
      </w:pPr>
      <w:r>
        <w:rPr>
          <w:rFonts w:ascii="Aptos" w:hAnsi="Aptos"/>
          <w:sz w:val="21"/>
        </w:rPr>
        <w:t>• TopHash Search remains the approximate high-throughput structural retrieval layer.</w:t>
      </w:r>
    </w:p>
    <w:p>
      <w:pPr>
        <w:ind w:left="288" w:hanging="259"/>
      </w:pPr>
      <w:r>
        <w:rPr>
          <w:rFonts w:ascii="Aptos" w:hAnsi="Aptos"/>
          <w:sz w:val="21"/>
        </w:rPr>
        <w:t>• TopHash Refine becomes the deterministic partition-refinement and ambiguity-reduction engine.</w:t>
      </w:r>
    </w:p>
    <w:p>
      <w:pPr>
        <w:ind w:left="288" w:hanging="259"/>
      </w:pPr>
      <w:r>
        <w:rPr>
          <w:rFonts w:ascii="Aptos" w:hAnsi="Aptos"/>
          <w:sz w:val="21"/>
        </w:rPr>
        <w:t>• TopHash Canon becomes the exact canonical labeling and canonical serialization engine.</w:t>
      </w:r>
    </w:p>
    <w:p>
      <w:pPr>
        <w:ind w:left="288" w:hanging="259"/>
      </w:pPr>
      <w:r>
        <w:rPr>
          <w:rFonts w:ascii="Aptos" w:hAnsi="Aptos"/>
          <w:sz w:val="21"/>
        </w:rPr>
        <w:t>• TopHash Cert emits machine-auditable proof objects, refinement traces, and conformance evidence.</w:t>
      </w:r>
    </w:p>
    <w:p>
      <w:pPr>
        <w:ind w:left="288" w:hanging="259"/>
      </w:pPr>
      <w:r>
        <w:rPr>
          <w:rFonts w:ascii="Aptos" w:hAnsi="Aptos"/>
          <w:sz w:val="21"/>
        </w:rPr>
        <w:t>• TopHash ID emits a compact cryptographic digest of the canonical serialization for indexing, APIs, and receipts.</w:t>
      </w:r>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High-level exactification pipeline</w:t>
            </w:r>
          </w:p>
        </w:tc>
      </w:tr>
      <w:tr>
        <w:tc>
          <w:tcPr>
            <w:tcW w:type="dxa" w:w="9648"/>
            <w:shd w:fill="F7FAFD"/>
            <w:tcMar>
              <w:top w:w="100" w:type="dxa"/>
              <w:start w:w="120" w:type="dxa"/>
              <w:bottom w:w="100" w:type="dxa"/>
              <w:end w:w="120" w:type="dxa"/>
            </w:tcMar>
          </w:tcPr>
          <w:p>
            <w:pPr>
              <w:pStyle w:val="CodeBlock"/>
              <w:ind w:left="72" w:right="72"/>
            </w:pPr>
            <w:r>
              <w:t>Graph / structured object</w:t>
              <w:br/>
              <w:t xml:space="preserve">        |</w:t>
              <w:br/>
              <w:t>Graph adapter + validation + normalization</w:t>
              <w:br/>
              <w:t xml:space="preserve">        |</w:t>
              <w:br/>
              <w:t>Approximate descriptor plane: TopHash Search (v3/v3E family)</w:t>
              <w:br/>
              <w:t xml:space="preserve">        |</w:t>
              <w:br/>
              <w:t>Partition / ambiguity plane: TopHash Refine</w:t>
              <w:br/>
              <w:t xml:space="preserve">        |</w:t>
              <w:br/>
              <w:t>Exact plane: TopHash Canon -&gt; canonical labeling -&gt; canonical serialization</w:t>
              <w:br/>
              <w:t xml:space="preserve">        |</w:t>
              <w:br/>
              <w:t>Proof plane: TopHash Cert -&gt; trace, witness, invariance checks, audit package</w:t>
              <w:br/>
              <w:t xml:space="preserve">        |</w:t>
              <w:br/>
              <w:t>Identity plane: TopHash ID = SHA-256(canonical serialization)</w:t>
            </w:r>
          </w:p>
        </w:tc>
      </w:tr>
    </w:tbl>
    <w:p/>
    <w:p>
      <w:pPr>
        <w:pStyle w:val="Heading1"/>
        <w:keepNext/>
      </w:pPr>
      <w:r>
        <w:t>2. Baseline from Current TopHash v3</w:t>
      </w:r>
    </w:p>
    <w:p>
      <w:pPr/>
      <w:r>
        <w:t>The current TopHash v3 baseline combines persistence, spectral, and geometry views into a 52-dimensional fixed-size vector. The Ensemble variant computes the same fingerprint on the original and a coarsened graph and appends the difference vector, producing a 156-dimensional output. These properties make TopHash suitable for structural retrieval, ANN indexing, clustering, anomaly detection, and downstream supervised classification.</w:t>
      </w:r>
    </w:p>
    <w:p>
      <w:pPr/>
      <w:r>
        <w:t>However, the current design has three explicit boundaries that matter for exactness. First, the vector is compressive: it is designed to preserve useful signal, not to encode a unique representative of each isomorphism class. Second, the current prototype coarsening is order-sensitive because it merges adjacent node pairs by index. Third, the current “exact certificate mode” compares raw persistence diagrams, which may strengthen topological checking but does not yield a complete graph invariant.</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376"/>
            <w:vAlign w:val="center"/>
            <w:shd w:fill="B9CCE4"/>
            <w:tcMar>
              <w:top w:w="70" w:type="dxa"/>
              <w:start w:w="80" w:type="dxa"/>
              <w:bottom w:w="70" w:type="dxa"/>
              <w:end w:w="80" w:type="dxa"/>
            </w:tcMar>
          </w:tcPr>
          <w:p>
            <w:pPr>
              <w:jc w:val="center"/>
            </w:pPr>
            <w:r>
              <w:rPr>
                <w:b/>
                <w:color w:val="1A477A"/>
                <w:sz w:val="18"/>
              </w:rPr>
              <w:t>Baseline property</w:t>
            </w:r>
          </w:p>
        </w:tc>
        <w:tc>
          <w:tcPr>
            <w:tcW w:type="dxa" w:w="3168"/>
            <w:vAlign w:val="center"/>
            <w:shd w:fill="B9CCE4"/>
            <w:tcMar>
              <w:top w:w="70" w:type="dxa"/>
              <w:start w:w="80" w:type="dxa"/>
              <w:bottom w:w="70" w:type="dxa"/>
              <w:end w:w="80" w:type="dxa"/>
            </w:tcMar>
          </w:tcPr>
          <w:p>
            <w:pPr>
              <w:jc w:val="center"/>
            </w:pPr>
            <w:r>
              <w:rPr>
                <w:b/>
                <w:color w:val="1A477A"/>
                <w:sz w:val="18"/>
              </w:rPr>
              <w:t>Current v3/v3E position</w:t>
            </w:r>
          </w:p>
        </w:tc>
        <w:tc>
          <w:tcPr>
            <w:tcW w:type="dxa" w:w="4104"/>
            <w:vAlign w:val="center"/>
            <w:shd w:fill="B9CCE4"/>
            <w:tcMar>
              <w:top w:w="70" w:type="dxa"/>
              <w:start w:w="80" w:type="dxa"/>
              <w:bottom w:w="70" w:type="dxa"/>
              <w:end w:w="80" w:type="dxa"/>
            </w:tcMar>
          </w:tcPr>
          <w:p>
            <w:pPr>
              <w:jc w:val="center"/>
            </w:pPr>
            <w:r>
              <w:rPr>
                <w:b/>
                <w:color w:val="1A477A"/>
                <w:sz w:val="18"/>
              </w:rPr>
              <w:t>Implication for exactness</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Descriptor form</w:t>
            </w:r>
          </w:p>
        </w:tc>
        <w:tc>
          <w:tcPr>
            <w:tcW w:type="dxa" w:w="3168"/>
            <w:vAlign w:val="center"/>
            <w:tcMar>
              <w:top w:w="75" w:type="dxa"/>
              <w:start w:w="85" w:type="dxa"/>
              <w:bottom w:w="75" w:type="dxa"/>
              <w:end w:w="85" w:type="dxa"/>
            </w:tcMar>
          </w:tcPr>
          <w:p>
            <w:pPr>
              <w:jc w:val="left"/>
            </w:pPr>
            <w:r>
              <w:rPr>
                <w:sz w:val="18"/>
              </w:rPr>
              <w:t>Fixed-size weighted vector (52D or 156D)</w:t>
            </w:r>
          </w:p>
        </w:tc>
        <w:tc>
          <w:tcPr>
            <w:tcW w:type="dxa" w:w="4104"/>
            <w:vAlign w:val="center"/>
            <w:tcMar>
              <w:top w:w="75" w:type="dxa"/>
              <w:start w:w="85" w:type="dxa"/>
              <w:bottom w:w="75" w:type="dxa"/>
              <w:end w:w="85" w:type="dxa"/>
            </w:tcMar>
          </w:tcPr>
          <w:p>
            <w:pPr>
              <w:jc w:val="left"/>
            </w:pPr>
            <w:r>
              <w:rPr>
                <w:sz w:val="18"/>
              </w:rPr>
              <w:t>Excellent for search; insufficient as a proof of graph identity</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Permutation sensitivity</w:t>
            </w:r>
          </w:p>
        </w:tc>
        <w:tc>
          <w:tcPr>
            <w:tcW w:type="dxa" w:w="3168"/>
            <w:vAlign w:val="center"/>
            <w:tcMar>
              <w:top w:w="75" w:type="dxa"/>
              <w:start w:w="85" w:type="dxa"/>
              <w:bottom w:w="75" w:type="dxa"/>
              <w:end w:w="85" w:type="dxa"/>
            </w:tcMar>
          </w:tcPr>
          <w:p>
            <w:pPr>
              <w:jc w:val="left"/>
            </w:pPr>
            <w:r>
              <w:rPr>
                <w:sz w:val="18"/>
              </w:rPr>
              <w:t>Prototype coarsening currently depends on node order</w:t>
            </w:r>
          </w:p>
        </w:tc>
        <w:tc>
          <w:tcPr>
            <w:tcW w:type="dxa" w:w="4104"/>
            <w:vAlign w:val="center"/>
            <w:tcMar>
              <w:top w:w="75" w:type="dxa"/>
              <w:start w:w="85" w:type="dxa"/>
              <w:bottom w:w="75" w:type="dxa"/>
              <w:end w:w="85" w:type="dxa"/>
            </w:tcMar>
          </w:tcPr>
          <w:p>
            <w:pPr>
              <w:jc w:val="left"/>
            </w:pPr>
            <w:r>
              <w:rPr>
                <w:sz w:val="18"/>
              </w:rPr>
              <w:t>Must be replaced or isolated to approximate mode only</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Certificate mode</w:t>
            </w:r>
          </w:p>
        </w:tc>
        <w:tc>
          <w:tcPr>
            <w:tcW w:type="dxa" w:w="3168"/>
            <w:vAlign w:val="center"/>
            <w:tcMar>
              <w:top w:w="75" w:type="dxa"/>
              <w:start w:w="85" w:type="dxa"/>
              <w:bottom w:w="75" w:type="dxa"/>
              <w:end w:w="85" w:type="dxa"/>
            </w:tcMar>
          </w:tcPr>
          <w:p>
            <w:pPr>
              <w:jc w:val="left"/>
            </w:pPr>
            <w:r>
              <w:rPr>
                <w:sz w:val="18"/>
              </w:rPr>
              <w:t>Persistence-diagram comparison</w:t>
            </w:r>
          </w:p>
        </w:tc>
        <w:tc>
          <w:tcPr>
            <w:tcW w:type="dxa" w:w="4104"/>
            <w:vAlign w:val="center"/>
            <w:tcMar>
              <w:top w:w="75" w:type="dxa"/>
              <w:start w:w="85" w:type="dxa"/>
              <w:bottom w:w="75" w:type="dxa"/>
              <w:end w:w="85" w:type="dxa"/>
            </w:tcMar>
          </w:tcPr>
          <w:p>
            <w:pPr>
              <w:jc w:val="left"/>
            </w:pPr>
            <w:r>
              <w:rPr>
                <w:sz w:val="18"/>
              </w:rPr>
              <w:t>Useful topological check; not a universal isomorphism certificate</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Explainability</w:t>
            </w:r>
          </w:p>
        </w:tc>
        <w:tc>
          <w:tcPr>
            <w:tcW w:type="dxa" w:w="3168"/>
            <w:vAlign w:val="center"/>
            <w:tcMar>
              <w:top w:w="75" w:type="dxa"/>
              <w:start w:w="85" w:type="dxa"/>
              <w:bottom w:w="75" w:type="dxa"/>
              <w:end w:w="85" w:type="dxa"/>
            </w:tcMar>
          </w:tcPr>
          <w:p>
            <w:pPr>
              <w:jc w:val="left"/>
            </w:pPr>
            <w:r>
              <w:rPr>
                <w:sz w:val="18"/>
              </w:rPr>
              <w:t>Intermediate views, quality scores, weights, cross terms</w:t>
            </w:r>
          </w:p>
        </w:tc>
        <w:tc>
          <w:tcPr>
            <w:tcW w:type="dxa" w:w="4104"/>
            <w:vAlign w:val="center"/>
            <w:tcMar>
              <w:top w:w="75" w:type="dxa"/>
              <w:start w:w="85" w:type="dxa"/>
              <w:bottom w:w="75" w:type="dxa"/>
              <w:end w:w="85" w:type="dxa"/>
            </w:tcMar>
          </w:tcPr>
          <w:p>
            <w:pPr>
              <w:jc w:val="left"/>
            </w:pPr>
            <w:r>
              <w:rPr>
                <w:sz w:val="18"/>
              </w:rPr>
              <w:t>Valuable foundation for an auditable exactification stack</w:t>
            </w:r>
          </w:p>
        </w:tc>
      </w:tr>
    </w:tbl>
    <w:p/>
    <w:p>
      <w:pPr>
        <w:pStyle w:val="Heading1"/>
        <w:keepNext/>
      </w:pPr>
      <w:r>
        <w:t>3. System Objectives for TopHash Exactification</w:t>
      </w:r>
    </w:p>
    <w:p>
      <w:pPr>
        <w:ind w:left="288" w:hanging="259"/>
      </w:pPr>
      <w:r>
        <w:rPr>
          <w:rFonts w:ascii="Aptos" w:hAnsi="Aptos"/>
          <w:sz w:val="21"/>
        </w:rPr>
        <w:t>• Preserve the current TopHash strengths: training-free operation, determinism, explainability, fixed-size approximate descriptors, and fast retrieval.</w:t>
      </w:r>
    </w:p>
    <w:p>
      <w:pPr>
        <w:ind w:left="288" w:hanging="259"/>
      </w:pPr>
      <w:r>
        <w:rPr>
          <w:rFonts w:ascii="Aptos" w:hAnsi="Aptos"/>
          <w:sz w:val="21"/>
        </w:rPr>
        <w:t>• Introduce an exact canonical representation whose equality is equivalent to graph isomorphism within the supported graph model.</w:t>
      </w:r>
    </w:p>
    <w:p>
      <w:pPr>
        <w:ind w:left="288" w:hanging="259"/>
      </w:pPr>
      <w:r>
        <w:rPr>
          <w:rFonts w:ascii="Aptos" w:hAnsi="Aptos"/>
          <w:sz w:val="21"/>
        </w:rPr>
        <w:t>• Produce proof objects that are auditable by independent implementations and robust under compliance or certification workflows.</w:t>
      </w:r>
    </w:p>
    <w:p>
      <w:pPr>
        <w:ind w:left="288" w:hanging="259"/>
      </w:pPr>
      <w:r>
        <w:rPr>
          <w:rFonts w:ascii="Aptos" w:hAnsi="Aptos"/>
          <w:sz w:val="21"/>
        </w:rPr>
        <w:t>• Keep approximate and exact modes clearly separated so product positioning remains honest and engineering trade-offs remain visible.</w:t>
      </w:r>
    </w:p>
    <w:p>
      <w:pPr>
        <w:ind w:left="288" w:hanging="259"/>
      </w:pPr>
      <w:r>
        <w:rPr>
          <w:rFonts w:ascii="Aptos" w:hAnsi="Aptos"/>
          <w:sz w:val="21"/>
        </w:rPr>
        <w:t>• Support future extensions for weighted graphs, directed graphs, attributes, labels, and temporal objects without corrupting the exactness core.</w:t>
      </w:r>
    </w:p>
    <w:p>
      <w:pPr/>
      <w:r>
        <w:t>The resulting stack is referred to in this specification as TopHashX, where X denotes exactification. TopHashX is not a single vector; it is a family of outputs that jointly serve search, exact identity, proof, and operational integration.</w:t>
      </w:r>
    </w:p>
    <w:p>
      <w:pPr>
        <w:pStyle w:val="Heading1"/>
        <w:keepNext/>
      </w:pPr>
      <w:r>
        <w:t>4. Formal Definitions</w:t>
      </w:r>
    </w:p>
    <w:p>
      <w:pPr/>
      <w:r>
        <w:t>Let G be a graph in the supported input class. Let a(G) denote the approximate TopHash descriptor. Let C(G) denote an exact canonical labeling and canonical serialization function. Let H be a cryptographic hash, and let P(G) be the proof object emitted by the exactification engine. The TopHashX output tuple is defined as:</w:t>
      </w:r>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TopHashX formal tuple</w:t>
            </w:r>
          </w:p>
        </w:tc>
      </w:tr>
      <w:tr>
        <w:tc>
          <w:tcPr>
            <w:tcW w:type="dxa" w:w="9648"/>
            <w:shd w:fill="F7FAFD"/>
            <w:tcMar>
              <w:top w:w="100" w:type="dxa"/>
              <w:start w:w="120" w:type="dxa"/>
              <w:bottom w:w="100" w:type="dxa"/>
              <w:end w:w="120" w:type="dxa"/>
            </w:tcMar>
          </w:tcPr>
          <w:p>
            <w:pPr>
              <w:pStyle w:val="CodeBlock"/>
              <w:ind w:left="72" w:right="72"/>
            </w:pPr>
            <w:r>
              <w:t>TopHashX(G) = ( a(G), C(G), H(C(G)), P(G) )</w:t>
              <w:br/>
              <w:br/>
              <w:t>a(G)     = approximate descriptor for retrieval and ranking</w:t>
              <w:br/>
              <w:t>C(G)     = canonical serialization of the canonically labeled graph</w:t>
              <w:br/>
              <w:t>H(C(G))  = compact structural identity digest</w:t>
              <w:br/>
              <w:t>P(G)     = proof / trace / explanation object</w:t>
            </w:r>
          </w:p>
        </w:tc>
      </w:tr>
    </w:tbl>
    <w:p/>
    <w:p>
      <w:pPr/>
      <w:r>
        <w:t>Correctness target: for the supported graph class, C(G) = C(H) if and only if G and H are isomorphic. The canonical serialization therefore acts as the complete invariant. The digest H(C(G)) is an operational identifier; the canonical serialization remains the source of truth.</w:t>
      </w:r>
    </w:p>
    <w:p>
      <w:pPr/>
      <w:r>
        <w:t>Non-goal: the approximate descriptor a(G) is not required to be complete. It may remain fixed-size, lossy, and optimized for search, provided it is deterministic and clearly documented as approximate.</w:t>
      </w:r>
    </w:p>
    <w:p>
      <w:pPr>
        <w:pStyle w:val="Heading1"/>
        <w:keepNext/>
      </w:pPr>
      <w:r>
        <w:t>5. Supported Input Model</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304"/>
            <w:vAlign w:val="center"/>
            <w:shd w:fill="B9CCE4"/>
            <w:tcMar>
              <w:top w:w="70" w:type="dxa"/>
              <w:start w:w="80" w:type="dxa"/>
              <w:bottom w:w="70" w:type="dxa"/>
              <w:end w:w="80" w:type="dxa"/>
            </w:tcMar>
          </w:tcPr>
          <w:p>
            <w:pPr>
              <w:jc w:val="center"/>
            </w:pPr>
            <w:r>
              <w:rPr>
                <w:b/>
                <w:color w:val="1A477A"/>
                <w:sz w:val="18"/>
              </w:rPr>
              <w:t>Aspect</w:t>
            </w:r>
          </w:p>
        </w:tc>
        <w:tc>
          <w:tcPr>
            <w:tcW w:type="dxa" w:w="3384"/>
            <w:vAlign w:val="center"/>
            <w:shd w:fill="B9CCE4"/>
            <w:tcMar>
              <w:top w:w="70" w:type="dxa"/>
              <w:start w:w="80" w:type="dxa"/>
              <w:bottom w:w="70" w:type="dxa"/>
              <w:end w:w="80" w:type="dxa"/>
            </w:tcMar>
          </w:tcPr>
          <w:p>
            <w:pPr>
              <w:jc w:val="center"/>
            </w:pPr>
            <w:r>
              <w:rPr>
                <w:b/>
                <w:color w:val="1A477A"/>
                <w:sz w:val="18"/>
              </w:rPr>
              <w:t>Phase 1 exact support</w:t>
            </w:r>
          </w:p>
        </w:tc>
        <w:tc>
          <w:tcPr>
            <w:tcW w:type="dxa" w:w="3960"/>
            <w:vAlign w:val="center"/>
            <w:shd w:fill="B9CCE4"/>
            <w:tcMar>
              <w:top w:w="70" w:type="dxa"/>
              <w:start w:w="80" w:type="dxa"/>
              <w:bottom w:w="70" w:type="dxa"/>
              <w:end w:w="80" w:type="dxa"/>
            </w:tcMar>
          </w:tcPr>
          <w:p>
            <w:pPr>
              <w:jc w:val="center"/>
            </w:pPr>
            <w:r>
              <w:rPr>
                <w:b/>
                <w:color w:val="1A477A"/>
                <w:sz w:val="18"/>
              </w:rPr>
              <w:t>Future extension path</w:t>
            </w:r>
          </w:p>
        </w:tc>
      </w:tr>
      <w:tr>
        <w:trPr>
          <w:cantSplit/>
        </w:trPr>
        <w:tc>
          <w:tcPr>
            <w:tcW w:type="dxa" w:w="2304"/>
            <w:vAlign w:val="center"/>
            <w:tcMar>
              <w:top w:w="75" w:type="dxa"/>
              <w:start w:w="85" w:type="dxa"/>
              <w:bottom w:w="75" w:type="dxa"/>
              <w:end w:w="85" w:type="dxa"/>
            </w:tcMar>
            <w:shd w:fill="F6F9FC"/>
          </w:tcPr>
          <w:p>
            <w:pPr>
              <w:jc w:val="center"/>
            </w:pPr>
            <w:r>
              <w:rPr>
                <w:b/>
                <w:color w:val="1A477A"/>
                <w:sz w:val="18"/>
              </w:rPr>
              <w:t>Graph type</w:t>
            </w:r>
          </w:p>
        </w:tc>
        <w:tc>
          <w:tcPr>
            <w:tcW w:type="dxa" w:w="3384"/>
            <w:vAlign w:val="center"/>
            <w:tcMar>
              <w:top w:w="75" w:type="dxa"/>
              <w:start w:w="85" w:type="dxa"/>
              <w:bottom w:w="75" w:type="dxa"/>
              <w:end w:w="85" w:type="dxa"/>
            </w:tcMar>
          </w:tcPr>
          <w:p>
            <w:pPr>
              <w:jc w:val="left"/>
            </w:pPr>
            <w:r>
              <w:rPr>
                <w:sz w:val="18"/>
              </w:rPr>
              <w:t>Simple undirected graph with no self-loops</w:t>
            </w:r>
          </w:p>
        </w:tc>
        <w:tc>
          <w:tcPr>
            <w:tcW w:type="dxa" w:w="3960"/>
            <w:vAlign w:val="center"/>
            <w:tcMar>
              <w:top w:w="75" w:type="dxa"/>
              <w:start w:w="85" w:type="dxa"/>
              <w:bottom w:w="75" w:type="dxa"/>
              <w:end w:w="85" w:type="dxa"/>
            </w:tcMar>
          </w:tcPr>
          <w:p>
            <w:pPr>
              <w:jc w:val="left"/>
            </w:pPr>
            <w:r>
              <w:rPr>
                <w:sz w:val="18"/>
              </w:rPr>
              <w:t>Weighted, directed, attributed, multiplex, temporal</w:t>
            </w:r>
          </w:p>
        </w:tc>
      </w:tr>
      <w:tr>
        <w:trPr>
          <w:cantSplit/>
        </w:trPr>
        <w:tc>
          <w:tcPr>
            <w:tcW w:type="dxa" w:w="2304"/>
            <w:vAlign w:val="center"/>
            <w:tcMar>
              <w:top w:w="75" w:type="dxa"/>
              <w:start w:w="85" w:type="dxa"/>
              <w:bottom w:w="75" w:type="dxa"/>
              <w:end w:w="85" w:type="dxa"/>
            </w:tcMar>
            <w:shd w:fill="F6F9FC"/>
          </w:tcPr>
          <w:p>
            <w:pPr>
              <w:jc w:val="center"/>
            </w:pPr>
            <w:r>
              <w:rPr>
                <w:b/>
                <w:color w:val="1A477A"/>
                <w:sz w:val="18"/>
              </w:rPr>
              <w:t>Input representation</w:t>
            </w:r>
          </w:p>
        </w:tc>
        <w:tc>
          <w:tcPr>
            <w:tcW w:type="dxa" w:w="3384"/>
            <w:vAlign w:val="center"/>
            <w:tcMar>
              <w:top w:w="75" w:type="dxa"/>
              <w:start w:w="85" w:type="dxa"/>
              <w:bottom w:w="75" w:type="dxa"/>
              <w:end w:w="85" w:type="dxa"/>
            </w:tcMar>
          </w:tcPr>
          <w:p>
            <w:pPr>
              <w:jc w:val="left"/>
            </w:pPr>
            <w:r>
              <w:rPr>
                <w:sz w:val="18"/>
              </w:rPr>
              <w:t>Adjacency matrix or edge list normalized into internal sparse graph form</w:t>
            </w:r>
          </w:p>
        </w:tc>
        <w:tc>
          <w:tcPr>
            <w:tcW w:type="dxa" w:w="3960"/>
            <w:vAlign w:val="center"/>
            <w:tcMar>
              <w:top w:w="75" w:type="dxa"/>
              <w:start w:w="85" w:type="dxa"/>
              <w:bottom w:w="75" w:type="dxa"/>
              <w:end w:w="85" w:type="dxa"/>
            </w:tcMar>
          </w:tcPr>
          <w:p>
            <w:pPr>
              <w:jc w:val="left"/>
            </w:pPr>
            <w:r>
              <w:rPr>
                <w:sz w:val="18"/>
              </w:rPr>
              <w:t>Streaming edge updates, graph database connectors</w:t>
            </w:r>
          </w:p>
        </w:tc>
      </w:tr>
      <w:tr>
        <w:trPr>
          <w:cantSplit/>
        </w:trPr>
        <w:tc>
          <w:tcPr>
            <w:tcW w:type="dxa" w:w="2304"/>
            <w:vAlign w:val="center"/>
            <w:tcMar>
              <w:top w:w="75" w:type="dxa"/>
              <w:start w:w="85" w:type="dxa"/>
              <w:bottom w:w="75" w:type="dxa"/>
              <w:end w:w="85" w:type="dxa"/>
            </w:tcMar>
            <w:shd w:fill="F6F9FC"/>
          </w:tcPr>
          <w:p>
            <w:pPr>
              <w:jc w:val="center"/>
            </w:pPr>
            <w:r>
              <w:rPr>
                <w:b/>
                <w:color w:val="1A477A"/>
                <w:sz w:val="18"/>
              </w:rPr>
              <w:t>Node labels</w:t>
            </w:r>
          </w:p>
        </w:tc>
        <w:tc>
          <w:tcPr>
            <w:tcW w:type="dxa" w:w="3384"/>
            <w:vAlign w:val="center"/>
            <w:tcMar>
              <w:top w:w="75" w:type="dxa"/>
              <w:start w:w="85" w:type="dxa"/>
              <w:bottom w:w="75" w:type="dxa"/>
              <w:end w:w="85" w:type="dxa"/>
            </w:tcMar>
          </w:tcPr>
          <w:p>
            <w:pPr>
              <w:jc w:val="left"/>
            </w:pPr>
            <w:r>
              <w:rPr>
                <w:sz w:val="18"/>
              </w:rPr>
              <w:t>Optional only for approximate mode in Phase 1</w:t>
            </w:r>
          </w:p>
        </w:tc>
        <w:tc>
          <w:tcPr>
            <w:tcW w:type="dxa" w:w="3960"/>
            <w:vAlign w:val="center"/>
            <w:tcMar>
              <w:top w:w="75" w:type="dxa"/>
              <w:start w:w="85" w:type="dxa"/>
              <w:bottom w:w="75" w:type="dxa"/>
              <w:end w:w="85" w:type="dxa"/>
            </w:tcMar>
          </w:tcPr>
          <w:p>
            <w:pPr>
              <w:jc w:val="left"/>
            </w:pPr>
            <w:r>
              <w:rPr>
                <w:sz w:val="18"/>
              </w:rPr>
              <w:t>Color-preserving canonical labeling in later phases</w:t>
            </w:r>
          </w:p>
        </w:tc>
      </w:tr>
      <w:tr>
        <w:trPr>
          <w:cantSplit/>
        </w:trPr>
        <w:tc>
          <w:tcPr>
            <w:tcW w:type="dxa" w:w="2304"/>
            <w:vAlign w:val="center"/>
            <w:tcMar>
              <w:top w:w="75" w:type="dxa"/>
              <w:start w:w="85" w:type="dxa"/>
              <w:bottom w:w="75" w:type="dxa"/>
              <w:end w:w="85" w:type="dxa"/>
            </w:tcMar>
            <w:shd w:fill="F6F9FC"/>
          </w:tcPr>
          <w:p>
            <w:pPr>
              <w:jc w:val="center"/>
            </w:pPr>
            <w:r>
              <w:rPr>
                <w:b/>
                <w:color w:val="1A477A"/>
                <w:sz w:val="18"/>
              </w:rPr>
              <w:t>Edge labels / weights</w:t>
            </w:r>
          </w:p>
        </w:tc>
        <w:tc>
          <w:tcPr>
            <w:tcW w:type="dxa" w:w="3384"/>
            <w:vAlign w:val="center"/>
            <w:tcMar>
              <w:top w:w="75" w:type="dxa"/>
              <w:start w:w="85" w:type="dxa"/>
              <w:bottom w:w="75" w:type="dxa"/>
              <w:end w:w="85" w:type="dxa"/>
            </w:tcMar>
          </w:tcPr>
          <w:p>
            <w:pPr>
              <w:jc w:val="left"/>
            </w:pPr>
            <w:r>
              <w:rPr>
                <w:sz w:val="18"/>
              </w:rPr>
              <w:t>Out of exact scope for initial release</w:t>
            </w:r>
          </w:p>
        </w:tc>
        <w:tc>
          <w:tcPr>
            <w:tcW w:type="dxa" w:w="3960"/>
            <w:vAlign w:val="center"/>
            <w:tcMar>
              <w:top w:w="75" w:type="dxa"/>
              <w:start w:w="85" w:type="dxa"/>
              <w:bottom w:w="75" w:type="dxa"/>
              <w:end w:w="85" w:type="dxa"/>
            </w:tcMar>
          </w:tcPr>
          <w:p>
            <w:pPr>
              <w:jc w:val="left"/>
            </w:pPr>
            <w:r>
              <w:rPr>
                <w:sz w:val="18"/>
              </w:rPr>
              <w:t>Exact support via typed layers or native weighted digraph handling</w:t>
            </w:r>
          </w:p>
        </w:tc>
      </w:tr>
      <w:tr>
        <w:trPr>
          <w:cantSplit/>
        </w:trPr>
        <w:tc>
          <w:tcPr>
            <w:tcW w:type="dxa" w:w="2304"/>
            <w:vAlign w:val="center"/>
            <w:tcMar>
              <w:top w:w="75" w:type="dxa"/>
              <w:start w:w="85" w:type="dxa"/>
              <w:bottom w:w="75" w:type="dxa"/>
              <w:end w:w="85" w:type="dxa"/>
            </w:tcMar>
            <w:shd w:fill="F6F9FC"/>
          </w:tcPr>
          <w:p>
            <w:pPr>
              <w:jc w:val="center"/>
            </w:pPr>
            <w:r>
              <w:rPr>
                <w:b/>
                <w:color w:val="1A477A"/>
                <w:sz w:val="18"/>
              </w:rPr>
              <w:t>Disconnected graphs</w:t>
            </w:r>
          </w:p>
        </w:tc>
        <w:tc>
          <w:tcPr>
            <w:tcW w:type="dxa" w:w="3384"/>
            <w:vAlign w:val="center"/>
            <w:tcMar>
              <w:top w:w="75" w:type="dxa"/>
              <w:start w:w="85" w:type="dxa"/>
              <w:bottom w:w="75" w:type="dxa"/>
              <w:end w:w="85" w:type="dxa"/>
            </w:tcMar>
          </w:tcPr>
          <w:p>
            <w:pPr>
              <w:jc w:val="left"/>
            </w:pPr>
            <w:r>
              <w:rPr>
                <w:sz w:val="18"/>
              </w:rPr>
              <w:t>Supported</w:t>
            </w:r>
          </w:p>
        </w:tc>
        <w:tc>
          <w:tcPr>
            <w:tcW w:type="dxa" w:w="3960"/>
            <w:vAlign w:val="center"/>
            <w:tcMar>
              <w:top w:w="75" w:type="dxa"/>
              <w:start w:w="85" w:type="dxa"/>
              <w:bottom w:w="75" w:type="dxa"/>
              <w:end w:w="85" w:type="dxa"/>
            </w:tcMar>
          </w:tcPr>
          <w:p>
            <w:pPr>
              <w:jc w:val="left"/>
            </w:pPr>
            <w:r>
              <w:rPr>
                <w:sz w:val="18"/>
              </w:rPr>
              <w:t>No change</w:t>
            </w:r>
          </w:p>
        </w:tc>
      </w:tr>
    </w:tbl>
    <w:p/>
    <w:p>
      <w:pPr/>
      <w:r>
        <w:t>Exact guarantees are only valid for the input model explicitly supported by the release. Product interfaces must always return a model-class declaration alongside exact outputs so that downstream users know the invariant class under which the guarantee applies.</w:t>
      </w:r>
    </w:p>
    <w:p>
      <w:pPr>
        <w:pStyle w:val="Heading1"/>
        <w:keepNext/>
      </w:pPr>
      <w:r>
        <w:t>6. Architecture Overview</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vAlign w:val="center"/>
            <w:shd w:fill="B9CCE4"/>
            <w:tcMar>
              <w:top w:w="70" w:type="dxa"/>
              <w:start w:w="80" w:type="dxa"/>
              <w:bottom w:w="70" w:type="dxa"/>
              <w:end w:w="80" w:type="dxa"/>
            </w:tcMar>
          </w:tcPr>
          <w:p>
            <w:pPr>
              <w:jc w:val="center"/>
            </w:pPr>
            <w:r>
              <w:rPr>
                <w:b/>
                <w:color w:val="1A477A"/>
                <w:sz w:val="18"/>
              </w:rPr>
              <w:t>Subsystem</w:t>
            </w:r>
          </w:p>
        </w:tc>
        <w:tc>
          <w:tcPr>
            <w:tcW w:type="dxa" w:w="3744"/>
            <w:vAlign w:val="center"/>
            <w:shd w:fill="B9CCE4"/>
            <w:tcMar>
              <w:top w:w="70" w:type="dxa"/>
              <w:start w:w="80" w:type="dxa"/>
              <w:bottom w:w="70" w:type="dxa"/>
              <w:end w:w="80" w:type="dxa"/>
            </w:tcMar>
          </w:tcPr>
          <w:p>
            <w:pPr>
              <w:jc w:val="center"/>
            </w:pPr>
            <w:r>
              <w:rPr>
                <w:b/>
                <w:color w:val="1A477A"/>
                <w:sz w:val="18"/>
              </w:rPr>
              <w:t>Role</w:t>
            </w:r>
          </w:p>
        </w:tc>
        <w:tc>
          <w:tcPr>
            <w:tcW w:type="dxa" w:w="3672"/>
            <w:vAlign w:val="center"/>
            <w:shd w:fill="B9CCE4"/>
            <w:tcMar>
              <w:top w:w="70" w:type="dxa"/>
              <w:start w:w="80" w:type="dxa"/>
              <w:bottom w:w="70" w:type="dxa"/>
              <w:end w:w="80" w:type="dxa"/>
            </w:tcMar>
          </w:tcPr>
          <w:p>
            <w:pPr>
              <w:jc w:val="center"/>
            </w:pPr>
            <w:r>
              <w:rPr>
                <w:b/>
                <w:color w:val="1A477A"/>
                <w:sz w:val="18"/>
              </w:rPr>
              <w:t>Primary outputs</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TopHash Search</w:t>
            </w:r>
          </w:p>
        </w:tc>
        <w:tc>
          <w:tcPr>
            <w:tcW w:type="dxa" w:w="3744"/>
            <w:vAlign w:val="center"/>
            <w:tcMar>
              <w:top w:w="75" w:type="dxa"/>
              <w:start w:w="85" w:type="dxa"/>
              <w:bottom w:w="75" w:type="dxa"/>
              <w:end w:w="85" w:type="dxa"/>
            </w:tcMar>
          </w:tcPr>
          <w:p>
            <w:pPr>
              <w:jc w:val="left"/>
            </w:pPr>
            <w:r>
              <w:rPr>
                <w:sz w:val="18"/>
              </w:rPr>
              <w:t>Fast approximate descriptor computation and candidate retrieval</w:t>
            </w:r>
          </w:p>
        </w:tc>
        <w:tc>
          <w:tcPr>
            <w:tcW w:type="dxa" w:w="3672"/>
            <w:vAlign w:val="center"/>
            <w:tcMar>
              <w:top w:w="75" w:type="dxa"/>
              <w:start w:w="85" w:type="dxa"/>
              <w:bottom w:w="75" w:type="dxa"/>
              <w:end w:w="85" w:type="dxa"/>
            </w:tcMar>
          </w:tcPr>
          <w:p>
            <w:pPr>
              <w:jc w:val="left"/>
            </w:pPr>
            <w:r>
              <w:rPr>
                <w:sz w:val="18"/>
              </w:rPr>
              <w:t>52D/156D descriptors, ANN vectors, similarity scores</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TopHash Refine</w:t>
            </w:r>
          </w:p>
        </w:tc>
        <w:tc>
          <w:tcPr>
            <w:tcW w:type="dxa" w:w="3744"/>
            <w:vAlign w:val="center"/>
            <w:tcMar>
              <w:top w:w="75" w:type="dxa"/>
              <w:start w:w="85" w:type="dxa"/>
              <w:bottom w:w="75" w:type="dxa"/>
              <w:end w:w="85" w:type="dxa"/>
            </w:tcMar>
          </w:tcPr>
          <w:p>
            <w:pPr>
              <w:jc w:val="left"/>
            </w:pPr>
            <w:r>
              <w:rPr>
                <w:sz w:val="18"/>
              </w:rPr>
              <w:t>Deterministic colour / partition refinement and ambiguity reduction</w:t>
            </w:r>
          </w:p>
        </w:tc>
        <w:tc>
          <w:tcPr>
            <w:tcW w:type="dxa" w:w="3672"/>
            <w:vAlign w:val="center"/>
            <w:tcMar>
              <w:top w:w="75" w:type="dxa"/>
              <w:start w:w="85" w:type="dxa"/>
              <w:bottom w:w="75" w:type="dxa"/>
              <w:end w:w="85" w:type="dxa"/>
            </w:tcMar>
          </w:tcPr>
          <w:p>
            <w:pPr>
              <w:jc w:val="left"/>
            </w:pPr>
            <w:r>
              <w:rPr>
                <w:sz w:val="18"/>
              </w:rPr>
              <w:t>Stable partitions, rooted signatures, branch priorities</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TopHash Canon</w:t>
            </w:r>
          </w:p>
        </w:tc>
        <w:tc>
          <w:tcPr>
            <w:tcW w:type="dxa" w:w="3744"/>
            <w:vAlign w:val="center"/>
            <w:tcMar>
              <w:top w:w="75" w:type="dxa"/>
              <w:start w:w="85" w:type="dxa"/>
              <w:bottom w:w="75" w:type="dxa"/>
              <w:end w:w="85" w:type="dxa"/>
            </w:tcMar>
          </w:tcPr>
          <w:p>
            <w:pPr>
              <w:jc w:val="left"/>
            </w:pPr>
            <w:r>
              <w:rPr>
                <w:sz w:val="18"/>
              </w:rPr>
              <w:t>Exact canonization, canonical labeling, canonical serialization</w:t>
            </w:r>
          </w:p>
        </w:tc>
        <w:tc>
          <w:tcPr>
            <w:tcW w:type="dxa" w:w="3672"/>
            <w:vAlign w:val="center"/>
            <w:tcMar>
              <w:top w:w="75" w:type="dxa"/>
              <w:start w:w="85" w:type="dxa"/>
              <w:bottom w:w="75" w:type="dxa"/>
              <w:end w:w="85" w:type="dxa"/>
            </w:tcMar>
          </w:tcPr>
          <w:p>
            <w:pPr>
              <w:jc w:val="left"/>
            </w:pPr>
            <w:r>
              <w:rPr>
                <w:sz w:val="18"/>
              </w:rPr>
              <w:t>Canonical permutation, canonical graph, exact serialization</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TopHash Cert</w:t>
            </w:r>
          </w:p>
        </w:tc>
        <w:tc>
          <w:tcPr>
            <w:tcW w:type="dxa" w:w="3744"/>
            <w:vAlign w:val="center"/>
            <w:tcMar>
              <w:top w:w="75" w:type="dxa"/>
              <w:start w:w="85" w:type="dxa"/>
              <w:bottom w:w="75" w:type="dxa"/>
              <w:end w:w="85" w:type="dxa"/>
            </w:tcMar>
          </w:tcPr>
          <w:p>
            <w:pPr>
              <w:jc w:val="left"/>
            </w:pPr>
            <w:r>
              <w:rPr>
                <w:sz w:val="18"/>
              </w:rPr>
              <w:t>Proof packaging, trace emission, validation receipts</w:t>
            </w:r>
          </w:p>
        </w:tc>
        <w:tc>
          <w:tcPr>
            <w:tcW w:type="dxa" w:w="3672"/>
            <w:vAlign w:val="center"/>
            <w:tcMar>
              <w:top w:w="75" w:type="dxa"/>
              <w:start w:w="85" w:type="dxa"/>
              <w:bottom w:w="75" w:type="dxa"/>
              <w:end w:w="85" w:type="dxa"/>
            </w:tcMar>
          </w:tcPr>
          <w:p>
            <w:pPr>
              <w:jc w:val="left"/>
            </w:pPr>
            <w:r>
              <w:rPr>
                <w:sz w:val="18"/>
              </w:rPr>
              <w:t>Refinement trace, witness logs, conformance bundle</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TopHash ID</w:t>
            </w:r>
          </w:p>
        </w:tc>
        <w:tc>
          <w:tcPr>
            <w:tcW w:type="dxa" w:w="3744"/>
            <w:vAlign w:val="center"/>
            <w:tcMar>
              <w:top w:w="75" w:type="dxa"/>
              <w:start w:w="85" w:type="dxa"/>
              <w:bottom w:w="75" w:type="dxa"/>
              <w:end w:w="85" w:type="dxa"/>
            </w:tcMar>
          </w:tcPr>
          <w:p>
            <w:pPr>
              <w:jc w:val="left"/>
            </w:pPr>
            <w:r>
              <w:rPr>
                <w:sz w:val="18"/>
              </w:rPr>
              <w:t>Compact identity layer for APIs and indexing</w:t>
            </w:r>
          </w:p>
        </w:tc>
        <w:tc>
          <w:tcPr>
            <w:tcW w:type="dxa" w:w="3672"/>
            <w:vAlign w:val="center"/>
            <w:tcMar>
              <w:top w:w="75" w:type="dxa"/>
              <w:start w:w="85" w:type="dxa"/>
              <w:bottom w:w="75" w:type="dxa"/>
              <w:end w:w="85" w:type="dxa"/>
            </w:tcMar>
          </w:tcPr>
          <w:p>
            <w:pPr>
              <w:jc w:val="left"/>
            </w:pPr>
            <w:r>
              <w:rPr>
                <w:sz w:val="18"/>
              </w:rPr>
              <w:t>SHA-256 digest, versioned structural ID</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Runtime and Storage</w:t>
            </w:r>
          </w:p>
        </w:tc>
        <w:tc>
          <w:tcPr>
            <w:tcW w:type="dxa" w:w="3744"/>
            <w:vAlign w:val="center"/>
            <w:tcMar>
              <w:top w:w="75" w:type="dxa"/>
              <w:start w:w="85" w:type="dxa"/>
              <w:bottom w:w="75" w:type="dxa"/>
              <w:end w:w="85" w:type="dxa"/>
            </w:tcMar>
          </w:tcPr>
          <w:p>
            <w:pPr>
              <w:jc w:val="left"/>
            </w:pPr>
            <w:r>
              <w:rPr>
                <w:sz w:val="18"/>
              </w:rPr>
              <w:t>Execution, caching, persistence, benchmarking, audit retention</w:t>
            </w:r>
          </w:p>
        </w:tc>
        <w:tc>
          <w:tcPr>
            <w:tcW w:type="dxa" w:w="3672"/>
            <w:vAlign w:val="center"/>
            <w:tcMar>
              <w:top w:w="75" w:type="dxa"/>
              <w:start w:w="85" w:type="dxa"/>
              <w:bottom w:w="75" w:type="dxa"/>
              <w:end w:w="85" w:type="dxa"/>
            </w:tcMar>
          </w:tcPr>
          <w:p>
            <w:pPr>
              <w:jc w:val="left"/>
            </w:pPr>
            <w:r>
              <w:rPr>
                <w:sz w:val="18"/>
              </w:rPr>
              <w:t>Result objects, caches, benchmark reports</w:t>
            </w:r>
          </w:p>
        </w:tc>
      </w:tr>
    </w:tbl>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Logical platform architecture</w:t>
            </w:r>
          </w:p>
        </w:tc>
      </w:tr>
      <w:tr>
        <w:tc>
          <w:tcPr>
            <w:tcW w:type="dxa" w:w="9648"/>
            <w:shd w:fill="F7FAFD"/>
            <w:tcMar>
              <w:top w:w="100" w:type="dxa"/>
              <w:start w:w="120" w:type="dxa"/>
              <w:bottom w:w="100" w:type="dxa"/>
              <w:end w:w="120" w:type="dxa"/>
            </w:tcMar>
          </w:tcPr>
          <w:p>
            <w:pPr>
              <w:pStyle w:val="CodeBlock"/>
              <w:ind w:left="72" w:right="72"/>
            </w:pPr>
            <w:r>
              <w:t>[Client / SDK / API / batch jobs]</w:t>
              <w:br/>
              <w:t xml:space="preserve">              |</w:t>
              <w:br/>
              <w:t xml:space="preserve">       Ingestion + validation</w:t>
              <w:br/>
              <w:t xml:space="preserve">              |</w:t>
              <w:br/>
              <w:t xml:space="preserve">    +---------+-----------+</w:t>
              <w:br/>
              <w:t xml:space="preserve">    |                     |</w:t>
              <w:br/>
              <w:t>Approximate plane     Exact plane</w:t>
              <w:br/>
              <w:t>TopHash Search        Refine -&gt; Canon -&gt; Cert -&gt; ID</w:t>
              <w:br/>
              <w:t xml:space="preserve">    |                     |</w:t>
              <w:br/>
              <w:t>ANN index / ranking   Canon store / proof store / receipt store</w:t>
              <w:br/>
              <w:t xml:space="preserve">    +----------+----------+</w:t>
              <w:br/>
              <w:t xml:space="preserve">               |</w:t>
              <w:br/>
              <w:t xml:space="preserve">      Explainability + governance layer</w:t>
            </w:r>
          </w:p>
        </w:tc>
      </w:tr>
    </w:tbl>
    <w:p/>
    <w:p>
      <w:pPr>
        <w:pStyle w:val="Heading1"/>
        <w:keepNext/>
      </w:pPr>
      <w:r>
        <w:t>7. TopHash Search Specification</w:t>
      </w:r>
    </w:p>
    <w:p>
      <w:pPr/>
      <w:r>
        <w:t>TopHash Search is the retained approximate descriptor family. It continues to compute deterministic, training-free structural fingerprints for rapid search, vector indexing, classification, and coarse matching. Search is intentionally separate from exactness: it ranks and prunes, but it does not certify identity.</w:t>
      </w:r>
    </w:p>
    <w:p>
      <w:pPr>
        <w:ind w:left="288" w:hanging="259"/>
      </w:pPr>
      <w:r>
        <w:rPr>
          <w:rFonts w:ascii="Aptos" w:hAnsi="Aptos"/>
          <w:sz w:val="21"/>
        </w:rPr>
        <w:t>• Output types: v3-style single-scale descriptor, ensemble descriptor, rooted/local descriptors for nodes or neighborhoods, and search-time explanation payloads.</w:t>
      </w:r>
    </w:p>
    <w:p>
      <w:pPr>
        <w:ind w:left="288" w:hanging="259"/>
      </w:pPr>
      <w:r>
        <w:rPr>
          <w:rFonts w:ascii="Aptos" w:hAnsi="Aptos"/>
          <w:sz w:val="21"/>
        </w:rPr>
        <w:t>• Permitted optimization: coarsening, sparse spectral approximations, approximate nearest-neighbor indexing, and batch vectorization.</w:t>
      </w:r>
    </w:p>
    <w:p>
      <w:pPr>
        <w:ind w:left="288" w:hanging="259"/>
      </w:pPr>
      <w:r>
        <w:rPr>
          <w:rFonts w:ascii="Aptos" w:hAnsi="Aptos"/>
          <w:sz w:val="21"/>
        </w:rPr>
        <w:t>• Disallowed claim: exact equality or complete invariance.</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520"/>
            <w:vAlign w:val="center"/>
            <w:shd w:fill="B9CCE4"/>
            <w:tcMar>
              <w:top w:w="70" w:type="dxa"/>
              <w:start w:w="80" w:type="dxa"/>
              <w:bottom w:w="70" w:type="dxa"/>
              <w:end w:w="80" w:type="dxa"/>
            </w:tcMar>
          </w:tcPr>
          <w:p>
            <w:pPr>
              <w:jc w:val="center"/>
            </w:pPr>
            <w:r>
              <w:rPr>
                <w:b/>
                <w:color w:val="1A477A"/>
                <w:sz w:val="18"/>
              </w:rPr>
              <w:t>Search component</w:t>
            </w:r>
          </w:p>
        </w:tc>
        <w:tc>
          <w:tcPr>
            <w:tcW w:type="dxa" w:w="7128"/>
            <w:vAlign w:val="center"/>
            <w:shd w:fill="B9CCE4"/>
            <w:tcMar>
              <w:top w:w="70" w:type="dxa"/>
              <w:start w:w="80" w:type="dxa"/>
              <w:bottom w:w="70" w:type="dxa"/>
              <w:end w:w="80" w:type="dxa"/>
            </w:tcMar>
          </w:tcPr>
          <w:p>
            <w:pPr>
              <w:jc w:val="center"/>
            </w:pPr>
            <w:r>
              <w:rPr>
                <w:b/>
                <w:color w:val="1A477A"/>
                <w:sz w:val="18"/>
              </w:rPr>
              <w:t>Function</w:t>
            </w:r>
          </w:p>
        </w:tc>
      </w:tr>
      <w:tr>
        <w:trPr>
          <w:cantSplit/>
        </w:trPr>
        <w:tc>
          <w:tcPr>
            <w:tcW w:type="dxa" w:w="2520"/>
            <w:vAlign w:val="center"/>
            <w:tcMar>
              <w:top w:w="75" w:type="dxa"/>
              <w:start w:w="85" w:type="dxa"/>
              <w:bottom w:w="75" w:type="dxa"/>
              <w:end w:w="85" w:type="dxa"/>
            </w:tcMar>
            <w:shd w:fill="F6F9FC"/>
          </w:tcPr>
          <w:p>
            <w:pPr>
              <w:jc w:val="center"/>
            </w:pPr>
            <w:r>
              <w:rPr>
                <w:b/>
                <w:color w:val="1A477A"/>
                <w:sz w:val="18"/>
              </w:rPr>
              <w:t>Descriptor engine</w:t>
            </w:r>
          </w:p>
        </w:tc>
        <w:tc>
          <w:tcPr>
            <w:tcW w:type="dxa" w:w="7128"/>
            <w:vAlign w:val="center"/>
            <w:tcMar>
              <w:top w:w="75" w:type="dxa"/>
              <w:start w:w="85" w:type="dxa"/>
              <w:bottom w:w="75" w:type="dxa"/>
              <w:end w:w="85" w:type="dxa"/>
            </w:tcMar>
          </w:tcPr>
          <w:p>
            <w:pPr>
              <w:jc w:val="left"/>
            </w:pPr>
            <w:r>
              <w:rPr>
                <w:sz w:val="18"/>
              </w:rPr>
              <w:t>Compute weighted persistence, spectral, and geometry descriptors plus cross terms and meta-features</w:t>
            </w:r>
          </w:p>
        </w:tc>
      </w:tr>
      <w:tr>
        <w:trPr>
          <w:cantSplit/>
        </w:trPr>
        <w:tc>
          <w:tcPr>
            <w:tcW w:type="dxa" w:w="2520"/>
            <w:vAlign w:val="center"/>
            <w:tcMar>
              <w:top w:w="75" w:type="dxa"/>
              <w:start w:w="85" w:type="dxa"/>
              <w:bottom w:w="75" w:type="dxa"/>
              <w:end w:w="85" w:type="dxa"/>
            </w:tcMar>
            <w:shd w:fill="F6F9FC"/>
          </w:tcPr>
          <w:p>
            <w:pPr>
              <w:jc w:val="center"/>
            </w:pPr>
            <w:r>
              <w:rPr>
                <w:b/>
                <w:color w:val="1A477A"/>
                <w:sz w:val="18"/>
              </w:rPr>
              <w:t>Rooted descriptor engine</w:t>
            </w:r>
          </w:p>
        </w:tc>
        <w:tc>
          <w:tcPr>
            <w:tcW w:type="dxa" w:w="7128"/>
            <w:vAlign w:val="center"/>
            <w:tcMar>
              <w:top w:w="75" w:type="dxa"/>
              <w:start w:w="85" w:type="dxa"/>
              <w:bottom w:w="75" w:type="dxa"/>
              <w:end w:w="85" w:type="dxa"/>
            </w:tcMar>
          </w:tcPr>
          <w:p>
            <w:pPr>
              <w:jc w:val="left"/>
            </w:pPr>
            <w:r>
              <w:rPr>
                <w:sz w:val="18"/>
              </w:rPr>
              <w:t>Compute local structural signatures used by the refinement plane</w:t>
            </w:r>
          </w:p>
        </w:tc>
      </w:tr>
      <w:tr>
        <w:trPr>
          <w:cantSplit/>
        </w:trPr>
        <w:tc>
          <w:tcPr>
            <w:tcW w:type="dxa" w:w="2520"/>
            <w:vAlign w:val="center"/>
            <w:tcMar>
              <w:top w:w="75" w:type="dxa"/>
              <w:start w:w="85" w:type="dxa"/>
              <w:bottom w:w="75" w:type="dxa"/>
              <w:end w:w="85" w:type="dxa"/>
            </w:tcMar>
            <w:shd w:fill="F6F9FC"/>
          </w:tcPr>
          <w:p>
            <w:pPr>
              <w:jc w:val="center"/>
            </w:pPr>
            <w:r>
              <w:rPr>
                <w:b/>
                <w:color w:val="1A477A"/>
                <w:sz w:val="18"/>
              </w:rPr>
              <w:t>ANN integration</w:t>
            </w:r>
          </w:p>
        </w:tc>
        <w:tc>
          <w:tcPr>
            <w:tcW w:type="dxa" w:w="7128"/>
            <w:vAlign w:val="center"/>
            <w:tcMar>
              <w:top w:w="75" w:type="dxa"/>
              <w:start w:w="85" w:type="dxa"/>
              <w:bottom w:w="75" w:type="dxa"/>
              <w:end w:w="85" w:type="dxa"/>
            </w:tcMar>
          </w:tcPr>
          <w:p>
            <w:pPr>
              <w:jc w:val="left"/>
            </w:pPr>
            <w:r>
              <w:rPr>
                <w:sz w:val="18"/>
              </w:rPr>
              <w:t>Store descriptors in vector indexes for candidate generation and interactive search</w:t>
            </w:r>
          </w:p>
        </w:tc>
      </w:tr>
      <w:tr>
        <w:trPr>
          <w:cantSplit/>
        </w:trPr>
        <w:tc>
          <w:tcPr>
            <w:tcW w:type="dxa" w:w="2520"/>
            <w:vAlign w:val="center"/>
            <w:tcMar>
              <w:top w:w="75" w:type="dxa"/>
              <w:start w:w="85" w:type="dxa"/>
              <w:bottom w:w="75" w:type="dxa"/>
              <w:end w:w="85" w:type="dxa"/>
            </w:tcMar>
            <w:shd w:fill="F6F9FC"/>
          </w:tcPr>
          <w:p>
            <w:pPr>
              <w:jc w:val="center"/>
            </w:pPr>
            <w:r>
              <w:rPr>
                <w:b/>
                <w:color w:val="1A477A"/>
                <w:sz w:val="18"/>
              </w:rPr>
              <w:t>Re-ranking</w:t>
            </w:r>
          </w:p>
        </w:tc>
        <w:tc>
          <w:tcPr>
            <w:tcW w:type="dxa" w:w="7128"/>
            <w:vAlign w:val="center"/>
            <w:tcMar>
              <w:top w:w="75" w:type="dxa"/>
              <w:start w:w="85" w:type="dxa"/>
              <w:bottom w:w="75" w:type="dxa"/>
              <w:end w:w="85" w:type="dxa"/>
            </w:tcMar>
          </w:tcPr>
          <w:p>
            <w:pPr>
              <w:jc w:val="left"/>
            </w:pPr>
            <w:r>
              <w:rPr>
                <w:sz w:val="18"/>
              </w:rPr>
              <w:t>Use exact plane feedback to refine approximate search quality over time without turning TopHash into a learned model</w:t>
            </w:r>
          </w:p>
        </w:tc>
      </w:tr>
      <w:tr>
        <w:trPr>
          <w:cantSplit/>
        </w:trPr>
        <w:tc>
          <w:tcPr>
            <w:tcW w:type="dxa" w:w="2520"/>
            <w:vAlign w:val="center"/>
            <w:tcMar>
              <w:top w:w="75" w:type="dxa"/>
              <w:start w:w="85" w:type="dxa"/>
              <w:bottom w:w="75" w:type="dxa"/>
              <w:end w:w="85" w:type="dxa"/>
            </w:tcMar>
            <w:shd w:fill="F6F9FC"/>
          </w:tcPr>
          <w:p>
            <w:pPr>
              <w:jc w:val="center"/>
            </w:pPr>
            <w:r>
              <w:rPr>
                <w:b/>
                <w:color w:val="1A477A"/>
                <w:sz w:val="18"/>
              </w:rPr>
              <w:t>Explain API</w:t>
            </w:r>
          </w:p>
        </w:tc>
        <w:tc>
          <w:tcPr>
            <w:tcW w:type="dxa" w:w="7128"/>
            <w:vAlign w:val="center"/>
            <w:tcMar>
              <w:top w:w="75" w:type="dxa"/>
              <w:start w:w="85" w:type="dxa"/>
              <w:bottom w:w="75" w:type="dxa"/>
              <w:end w:w="85" w:type="dxa"/>
            </w:tcMar>
          </w:tcPr>
          <w:p>
            <w:pPr>
              <w:jc w:val="left"/>
            </w:pPr>
            <w:r>
              <w:rPr>
                <w:sz w:val="18"/>
              </w:rPr>
              <w:t>Expose intermediate views, weights, and similarities for debugging and product UX</w:t>
            </w:r>
          </w:p>
        </w:tc>
      </w:tr>
    </w:tbl>
    <w:p/>
    <w:p>
      <w:pPr/>
      <w:r>
        <w:t>Search should be implemented as a pure function over normalized graph input with stable versioned outputs. Every vector must carry a schema version, graph model declaration, and deterministic parameter bundle.</w:t>
      </w:r>
    </w:p>
    <w:p>
      <w:pPr>
        <w:pStyle w:val="Heading1"/>
        <w:keepNext/>
      </w:pPr>
      <w:r>
        <w:t>8. TopHash Refine Specification</w:t>
      </w:r>
    </w:p>
    <w:p>
      <w:pPr/>
      <w:r>
        <w:t>TopHash Refine is the new ambiguity-reduction layer. Its job is to derive strong deterministic partitions over the graph before any expensive canonization search branches are explored. It does not itself prove exactness; instead, it compresses the search tree while preserving correctness.</w:t>
      </w:r>
    </w:p>
    <w:p>
      <w:pPr>
        <w:ind w:left="288" w:hanging="259"/>
      </w:pPr>
      <w:r>
        <w:rPr>
          <w:rFonts w:ascii="Aptos" w:hAnsi="Aptos"/>
          <w:sz w:val="21"/>
        </w:rPr>
        <w:t>• Initial colouring may use exact-safe invariants such as degree, label class, connected component, and local counts.</w:t>
      </w:r>
    </w:p>
    <w:p>
      <w:pPr>
        <w:ind w:left="288" w:hanging="259"/>
      </w:pPr>
      <w:r>
        <w:rPr>
          <w:rFonts w:ascii="Aptos" w:hAnsi="Aptos"/>
          <w:sz w:val="21"/>
        </w:rPr>
        <w:t>• Additional branch-ordering hints may use richer TopHash-style rooted signatures, provided they never invalidate canonization correctness.</w:t>
      </w:r>
    </w:p>
    <w:p>
      <w:pPr>
        <w:ind w:left="288" w:hanging="259"/>
      </w:pPr>
      <w:r>
        <w:rPr>
          <w:rFonts w:ascii="Aptos" w:hAnsi="Aptos"/>
          <w:sz w:val="21"/>
        </w:rPr>
        <w:t>• The output of refinement is a stable partition, branch priority ordering, and ambiguity map of cells still requiring search.</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664"/>
            <w:vAlign w:val="center"/>
            <w:shd w:fill="B9CCE4"/>
            <w:tcMar>
              <w:top w:w="70" w:type="dxa"/>
              <w:start w:w="80" w:type="dxa"/>
              <w:bottom w:w="70" w:type="dxa"/>
              <w:end w:w="80" w:type="dxa"/>
            </w:tcMar>
          </w:tcPr>
          <w:p>
            <w:pPr>
              <w:jc w:val="center"/>
            </w:pPr>
            <w:r>
              <w:rPr>
                <w:b/>
                <w:color w:val="1A477A"/>
                <w:sz w:val="18"/>
              </w:rPr>
              <w:t>Refinement signal</w:t>
            </w:r>
          </w:p>
        </w:tc>
        <w:tc>
          <w:tcPr>
            <w:tcW w:type="dxa" w:w="3888"/>
            <w:vAlign w:val="center"/>
            <w:shd w:fill="B9CCE4"/>
            <w:tcMar>
              <w:top w:w="70" w:type="dxa"/>
              <w:start w:w="80" w:type="dxa"/>
              <w:bottom w:w="70" w:type="dxa"/>
              <w:end w:w="80" w:type="dxa"/>
            </w:tcMar>
          </w:tcPr>
          <w:p>
            <w:pPr>
              <w:jc w:val="center"/>
            </w:pPr>
            <w:r>
              <w:rPr>
                <w:b/>
                <w:color w:val="1A477A"/>
                <w:sz w:val="18"/>
              </w:rPr>
              <w:t>Purpose</w:t>
            </w:r>
          </w:p>
        </w:tc>
        <w:tc>
          <w:tcPr>
            <w:tcW w:type="dxa" w:w="3096"/>
            <w:vAlign w:val="center"/>
            <w:shd w:fill="B9CCE4"/>
            <w:tcMar>
              <w:top w:w="70" w:type="dxa"/>
              <w:start w:w="80" w:type="dxa"/>
              <w:bottom w:w="70" w:type="dxa"/>
              <w:end w:w="80" w:type="dxa"/>
            </w:tcMar>
          </w:tcPr>
          <w:p>
            <w:pPr>
              <w:jc w:val="center"/>
            </w:pPr>
            <w:r>
              <w:rPr>
                <w:b/>
                <w:color w:val="1A477A"/>
                <w:sz w:val="18"/>
              </w:rPr>
              <w:t>Exactness status</w:t>
            </w:r>
          </w:p>
        </w:tc>
      </w:tr>
      <w:tr>
        <w:trPr>
          <w:cantSplit/>
        </w:trPr>
        <w:tc>
          <w:tcPr>
            <w:tcW w:type="dxa" w:w="2664"/>
            <w:vAlign w:val="center"/>
            <w:tcMar>
              <w:top w:w="75" w:type="dxa"/>
              <w:start w:w="85" w:type="dxa"/>
              <w:bottom w:w="75" w:type="dxa"/>
              <w:end w:w="85" w:type="dxa"/>
            </w:tcMar>
            <w:shd w:fill="F6F9FC"/>
          </w:tcPr>
          <w:p>
            <w:pPr>
              <w:jc w:val="center"/>
            </w:pPr>
            <w:r>
              <w:rPr>
                <w:b/>
                <w:color w:val="1A477A"/>
                <w:sz w:val="18"/>
              </w:rPr>
              <w:t>Degree / local counts</w:t>
            </w:r>
          </w:p>
        </w:tc>
        <w:tc>
          <w:tcPr>
            <w:tcW w:type="dxa" w:w="3888"/>
            <w:vAlign w:val="center"/>
            <w:tcMar>
              <w:top w:w="75" w:type="dxa"/>
              <w:start w:w="85" w:type="dxa"/>
              <w:bottom w:w="75" w:type="dxa"/>
              <w:end w:w="85" w:type="dxa"/>
            </w:tcMar>
          </w:tcPr>
          <w:p>
            <w:pPr>
              <w:jc w:val="left"/>
            </w:pPr>
            <w:r>
              <w:rPr>
                <w:sz w:val="18"/>
              </w:rPr>
              <w:t>Seed initial cells and equitable refinement</w:t>
            </w:r>
          </w:p>
        </w:tc>
        <w:tc>
          <w:tcPr>
            <w:tcW w:type="dxa" w:w="3096"/>
            <w:vAlign w:val="center"/>
            <w:tcMar>
              <w:top w:w="75" w:type="dxa"/>
              <w:start w:w="85" w:type="dxa"/>
              <w:bottom w:w="75" w:type="dxa"/>
              <w:end w:w="85" w:type="dxa"/>
            </w:tcMar>
          </w:tcPr>
          <w:p>
            <w:pPr>
              <w:jc w:val="left"/>
            </w:pPr>
            <w:r>
              <w:rPr>
                <w:sz w:val="18"/>
              </w:rPr>
              <w:t>Exact-safe</w:t>
            </w:r>
          </w:p>
        </w:tc>
      </w:tr>
      <w:tr>
        <w:trPr>
          <w:cantSplit/>
        </w:trPr>
        <w:tc>
          <w:tcPr>
            <w:tcW w:type="dxa" w:w="2664"/>
            <w:vAlign w:val="center"/>
            <w:tcMar>
              <w:top w:w="75" w:type="dxa"/>
              <w:start w:w="85" w:type="dxa"/>
              <w:bottom w:w="75" w:type="dxa"/>
              <w:end w:w="85" w:type="dxa"/>
            </w:tcMar>
            <w:shd w:fill="F6F9FC"/>
          </w:tcPr>
          <w:p>
            <w:pPr>
              <w:jc w:val="center"/>
            </w:pPr>
            <w:r>
              <w:rPr>
                <w:b/>
                <w:color w:val="1A477A"/>
                <w:sz w:val="18"/>
              </w:rPr>
              <w:t>Neighbourhood colour histograms</w:t>
            </w:r>
          </w:p>
        </w:tc>
        <w:tc>
          <w:tcPr>
            <w:tcW w:type="dxa" w:w="3888"/>
            <w:vAlign w:val="center"/>
            <w:tcMar>
              <w:top w:w="75" w:type="dxa"/>
              <w:start w:w="85" w:type="dxa"/>
              <w:bottom w:w="75" w:type="dxa"/>
              <w:end w:w="85" w:type="dxa"/>
            </w:tcMar>
          </w:tcPr>
          <w:p>
            <w:pPr>
              <w:jc w:val="left"/>
            </w:pPr>
            <w:r>
              <w:rPr>
                <w:sz w:val="18"/>
              </w:rPr>
              <w:t>Split cells using colour refinement</w:t>
            </w:r>
          </w:p>
        </w:tc>
        <w:tc>
          <w:tcPr>
            <w:tcW w:type="dxa" w:w="3096"/>
            <w:vAlign w:val="center"/>
            <w:tcMar>
              <w:top w:w="75" w:type="dxa"/>
              <w:start w:w="85" w:type="dxa"/>
              <w:bottom w:w="75" w:type="dxa"/>
              <w:end w:w="85" w:type="dxa"/>
            </w:tcMar>
          </w:tcPr>
          <w:p>
            <w:pPr>
              <w:jc w:val="left"/>
            </w:pPr>
            <w:r>
              <w:rPr>
                <w:sz w:val="18"/>
              </w:rPr>
              <w:t>Exact-safe</w:t>
            </w:r>
          </w:p>
        </w:tc>
      </w:tr>
      <w:tr>
        <w:trPr>
          <w:cantSplit/>
        </w:trPr>
        <w:tc>
          <w:tcPr>
            <w:tcW w:type="dxa" w:w="2664"/>
            <w:vAlign w:val="center"/>
            <w:tcMar>
              <w:top w:w="75" w:type="dxa"/>
              <w:start w:w="85" w:type="dxa"/>
              <w:bottom w:w="75" w:type="dxa"/>
              <w:end w:w="85" w:type="dxa"/>
            </w:tcMar>
            <w:shd w:fill="F6F9FC"/>
          </w:tcPr>
          <w:p>
            <w:pPr>
              <w:jc w:val="center"/>
            </w:pPr>
            <w:r>
              <w:rPr>
                <w:b/>
                <w:color w:val="1A477A"/>
                <w:sz w:val="18"/>
              </w:rPr>
              <w:t>Rooted persistence summaries</w:t>
            </w:r>
          </w:p>
        </w:tc>
        <w:tc>
          <w:tcPr>
            <w:tcW w:type="dxa" w:w="3888"/>
            <w:vAlign w:val="center"/>
            <w:tcMar>
              <w:top w:w="75" w:type="dxa"/>
              <w:start w:w="85" w:type="dxa"/>
              <w:bottom w:w="75" w:type="dxa"/>
              <w:end w:w="85" w:type="dxa"/>
            </w:tcMar>
          </w:tcPr>
          <w:p>
            <w:pPr>
              <w:jc w:val="left"/>
            </w:pPr>
            <w:r>
              <w:rPr>
                <w:sz w:val="18"/>
              </w:rPr>
              <w:t>Rank ambiguous vertices or cells</w:t>
            </w:r>
          </w:p>
        </w:tc>
        <w:tc>
          <w:tcPr>
            <w:tcW w:type="dxa" w:w="3096"/>
            <w:vAlign w:val="center"/>
            <w:tcMar>
              <w:top w:w="75" w:type="dxa"/>
              <w:start w:w="85" w:type="dxa"/>
              <w:bottom w:w="75" w:type="dxa"/>
              <w:end w:w="85" w:type="dxa"/>
            </w:tcMar>
          </w:tcPr>
          <w:p>
            <w:pPr>
              <w:jc w:val="left"/>
            </w:pPr>
            <w:r>
              <w:rPr>
                <w:sz w:val="18"/>
              </w:rPr>
              <w:t>Search guidance only</w:t>
            </w:r>
          </w:p>
        </w:tc>
      </w:tr>
      <w:tr>
        <w:trPr>
          <w:cantSplit/>
        </w:trPr>
        <w:tc>
          <w:tcPr>
            <w:tcW w:type="dxa" w:w="2664"/>
            <w:vAlign w:val="center"/>
            <w:tcMar>
              <w:top w:w="75" w:type="dxa"/>
              <w:start w:w="85" w:type="dxa"/>
              <w:bottom w:w="75" w:type="dxa"/>
              <w:end w:w="85" w:type="dxa"/>
            </w:tcMar>
            <w:shd w:fill="F6F9FC"/>
          </w:tcPr>
          <w:p>
            <w:pPr>
              <w:jc w:val="center"/>
            </w:pPr>
            <w:r>
              <w:rPr>
                <w:b/>
                <w:color w:val="1A477A"/>
                <w:sz w:val="18"/>
              </w:rPr>
              <w:t>Local spectral moments</w:t>
            </w:r>
          </w:p>
        </w:tc>
        <w:tc>
          <w:tcPr>
            <w:tcW w:type="dxa" w:w="3888"/>
            <w:vAlign w:val="center"/>
            <w:tcMar>
              <w:top w:w="75" w:type="dxa"/>
              <w:start w:w="85" w:type="dxa"/>
              <w:bottom w:w="75" w:type="dxa"/>
              <w:end w:w="85" w:type="dxa"/>
            </w:tcMar>
          </w:tcPr>
          <w:p>
            <w:pPr>
              <w:jc w:val="left"/>
            </w:pPr>
            <w:r>
              <w:rPr>
                <w:sz w:val="18"/>
              </w:rPr>
              <w:t>Rank cells with similar coarse combinatorial signatures</w:t>
            </w:r>
          </w:p>
        </w:tc>
        <w:tc>
          <w:tcPr>
            <w:tcW w:type="dxa" w:w="3096"/>
            <w:vAlign w:val="center"/>
            <w:tcMar>
              <w:top w:w="75" w:type="dxa"/>
              <w:start w:w="85" w:type="dxa"/>
              <w:bottom w:w="75" w:type="dxa"/>
              <w:end w:w="85" w:type="dxa"/>
            </w:tcMar>
          </w:tcPr>
          <w:p>
            <w:pPr>
              <w:jc w:val="left"/>
            </w:pPr>
            <w:r>
              <w:rPr>
                <w:sz w:val="18"/>
              </w:rPr>
              <w:t>Search guidance only</w:t>
            </w:r>
          </w:p>
        </w:tc>
      </w:tr>
      <w:tr>
        <w:trPr>
          <w:cantSplit/>
        </w:trPr>
        <w:tc>
          <w:tcPr>
            <w:tcW w:type="dxa" w:w="2664"/>
            <w:vAlign w:val="center"/>
            <w:tcMar>
              <w:top w:w="75" w:type="dxa"/>
              <w:start w:w="85" w:type="dxa"/>
              <w:bottom w:w="75" w:type="dxa"/>
              <w:end w:w="85" w:type="dxa"/>
            </w:tcMar>
            <w:shd w:fill="F6F9FC"/>
          </w:tcPr>
          <w:p>
            <w:pPr>
              <w:jc w:val="center"/>
            </w:pPr>
            <w:r>
              <w:rPr>
                <w:b/>
                <w:color w:val="1A477A"/>
                <w:sz w:val="18"/>
              </w:rPr>
              <w:t>Cycle / walk signatures</w:t>
            </w:r>
          </w:p>
        </w:tc>
        <w:tc>
          <w:tcPr>
            <w:tcW w:type="dxa" w:w="3888"/>
            <w:vAlign w:val="center"/>
            <w:tcMar>
              <w:top w:w="75" w:type="dxa"/>
              <w:start w:w="85" w:type="dxa"/>
              <w:bottom w:w="75" w:type="dxa"/>
              <w:end w:w="85" w:type="dxa"/>
            </w:tcMar>
          </w:tcPr>
          <w:p>
            <w:pPr>
              <w:jc w:val="left"/>
            </w:pPr>
            <w:r>
              <w:rPr>
                <w:sz w:val="18"/>
              </w:rPr>
              <w:t>Strengthen ambiguity diagnosis</w:t>
            </w:r>
          </w:p>
        </w:tc>
        <w:tc>
          <w:tcPr>
            <w:tcW w:type="dxa" w:w="3096"/>
            <w:vAlign w:val="center"/>
            <w:tcMar>
              <w:top w:w="75" w:type="dxa"/>
              <w:start w:w="85" w:type="dxa"/>
              <w:bottom w:w="75" w:type="dxa"/>
              <w:end w:w="85" w:type="dxa"/>
            </w:tcMar>
          </w:tcPr>
          <w:p>
            <w:pPr>
              <w:jc w:val="left"/>
            </w:pPr>
            <w:r>
              <w:rPr>
                <w:sz w:val="18"/>
              </w:rPr>
              <w:t>Search guidance only</w:t>
            </w:r>
          </w:p>
        </w:tc>
      </w:tr>
      <w:tr>
        <w:trPr>
          <w:cantSplit/>
        </w:trPr>
        <w:tc>
          <w:tcPr>
            <w:tcW w:type="dxa" w:w="2664"/>
            <w:vAlign w:val="center"/>
            <w:tcMar>
              <w:top w:w="75" w:type="dxa"/>
              <w:start w:w="85" w:type="dxa"/>
              <w:bottom w:w="75" w:type="dxa"/>
              <w:end w:w="85" w:type="dxa"/>
            </w:tcMar>
            <w:shd w:fill="F6F9FC"/>
          </w:tcPr>
          <w:p>
            <w:pPr>
              <w:jc w:val="center"/>
            </w:pPr>
            <w:r>
              <w:rPr>
                <w:b/>
                <w:color w:val="1A477A"/>
                <w:sz w:val="18"/>
              </w:rPr>
              <w:t>Quotient graph recursion</w:t>
            </w:r>
          </w:p>
        </w:tc>
        <w:tc>
          <w:tcPr>
            <w:tcW w:type="dxa" w:w="3888"/>
            <w:vAlign w:val="center"/>
            <w:tcMar>
              <w:top w:w="75" w:type="dxa"/>
              <w:start w:w="85" w:type="dxa"/>
              <w:bottom w:w="75" w:type="dxa"/>
              <w:end w:w="85" w:type="dxa"/>
            </w:tcMar>
          </w:tcPr>
          <w:p>
            <w:pPr>
              <w:jc w:val="left"/>
            </w:pPr>
            <w:r>
              <w:rPr>
                <w:sz w:val="18"/>
              </w:rPr>
              <w:t>Push refinement to coarser cell graph before branching</w:t>
            </w:r>
          </w:p>
        </w:tc>
        <w:tc>
          <w:tcPr>
            <w:tcW w:type="dxa" w:w="3096"/>
            <w:vAlign w:val="center"/>
            <w:tcMar>
              <w:top w:w="75" w:type="dxa"/>
              <w:start w:w="85" w:type="dxa"/>
              <w:bottom w:w="75" w:type="dxa"/>
              <w:end w:w="85" w:type="dxa"/>
            </w:tcMar>
          </w:tcPr>
          <w:p>
            <w:pPr>
              <w:jc w:val="left"/>
            </w:pPr>
            <w:r>
              <w:rPr>
                <w:sz w:val="18"/>
              </w:rPr>
              <w:t>Exact-safe if canonicalized consistently</w:t>
            </w:r>
          </w:p>
        </w:tc>
      </w:tr>
    </w:tbl>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Refinement flow</w:t>
            </w:r>
          </w:p>
        </w:tc>
      </w:tr>
      <w:tr>
        <w:tc>
          <w:tcPr>
            <w:tcW w:type="dxa" w:w="9648"/>
            <w:shd w:fill="F7FAFD"/>
            <w:tcMar>
              <w:top w:w="100" w:type="dxa"/>
              <w:start w:w="120" w:type="dxa"/>
              <w:bottom w:w="100" w:type="dxa"/>
              <w:end w:w="120" w:type="dxa"/>
            </w:tcMar>
          </w:tcPr>
          <w:p>
            <w:pPr>
              <w:pStyle w:val="CodeBlock"/>
              <w:ind w:left="72" w:right="72"/>
            </w:pPr>
            <w:r>
              <w:t>Normalize graph</w:t>
              <w:br/>
              <w:t xml:space="preserve"> -&gt; initial colouring</w:t>
              <w:br/>
              <w:t xml:space="preserve"> -&gt; equitable refinement until stable</w:t>
              <w:br/>
              <w:t xml:space="preserve"> -&gt; build quotient graph of colour classes</w:t>
              <w:br/>
              <w:t xml:space="preserve"> -&gt; recursively refine quotient if useful</w:t>
              <w:br/>
              <w:t xml:space="preserve"> -&gt; score ambiguous cells using rooted signatures</w:t>
              <w:br/>
              <w:t xml:space="preserve"> -&gt; output stable partition + branch priority schedule</w:t>
            </w:r>
          </w:p>
        </w:tc>
      </w:tr>
    </w:tbl>
    <w:p/>
    <w:p>
      <w:pPr>
        <w:pStyle w:val="Heading1"/>
        <w:keepNext/>
      </w:pPr>
      <w:r>
        <w:t>9. TopHash Canon Specification</w:t>
      </w:r>
    </w:p>
    <w:p>
      <w:pPr/>
      <w:r>
        <w:t>TopHash Canon is the exact core. It performs individualization-refinement search, automorphism pruning, candidate leaf comparison, and canonical serialization. This is the subsystem that upgrades TopHash from an approximate fingerprint family into a confirmed structural fingerprint stack.</w:t>
      </w:r>
    </w:p>
    <w:p>
      <w:pPr>
        <w:ind w:left="288" w:hanging="259"/>
      </w:pPr>
      <w:r>
        <w:rPr>
          <w:rFonts w:ascii="Aptos" w:hAnsi="Aptos"/>
          <w:sz w:val="21"/>
        </w:rPr>
        <w:t>• Canonization must be deterministic and reproducible across machines for the same version and graph model.</w:t>
      </w:r>
    </w:p>
    <w:p>
      <w:pPr>
        <w:ind w:left="288" w:hanging="259"/>
      </w:pPr>
      <w:r>
        <w:rPr>
          <w:rFonts w:ascii="Aptos" w:hAnsi="Aptos"/>
          <w:sz w:val="21"/>
        </w:rPr>
        <w:t>• All tie-breaking must be explicit, documented, and versioned.</w:t>
      </w:r>
    </w:p>
    <w:p>
      <w:pPr>
        <w:ind w:left="288" w:hanging="259"/>
      </w:pPr>
      <w:r>
        <w:rPr>
          <w:rFonts w:ascii="Aptos" w:hAnsi="Aptos"/>
          <w:sz w:val="21"/>
        </w:rPr>
        <w:t>• Canonical serialization must be stable and independent of original node ordering.</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3024"/>
            <w:vAlign w:val="center"/>
            <w:shd w:fill="B9CCE4"/>
            <w:tcMar>
              <w:top w:w="70" w:type="dxa"/>
              <w:start w:w="80" w:type="dxa"/>
              <w:bottom w:w="70" w:type="dxa"/>
              <w:end w:w="80" w:type="dxa"/>
            </w:tcMar>
          </w:tcPr>
          <w:p>
            <w:pPr>
              <w:jc w:val="center"/>
            </w:pPr>
            <w:r>
              <w:rPr>
                <w:b/>
                <w:color w:val="1A477A"/>
                <w:sz w:val="18"/>
              </w:rPr>
              <w:t>Canon stage</w:t>
            </w:r>
          </w:p>
        </w:tc>
        <w:tc>
          <w:tcPr>
            <w:tcW w:type="dxa" w:w="6624"/>
            <w:vAlign w:val="center"/>
            <w:shd w:fill="B9CCE4"/>
            <w:tcMar>
              <w:top w:w="70" w:type="dxa"/>
              <w:start w:w="80" w:type="dxa"/>
              <w:bottom w:w="70" w:type="dxa"/>
              <w:end w:w="80" w:type="dxa"/>
            </w:tcMar>
          </w:tcPr>
          <w:p>
            <w:pPr>
              <w:jc w:val="center"/>
            </w:pPr>
            <w:r>
              <w:rPr>
                <w:b/>
                <w:color w:val="1A477A"/>
                <w:sz w:val="18"/>
              </w:rPr>
              <w:t>Description</w:t>
            </w:r>
          </w:p>
        </w:tc>
      </w:tr>
      <w:tr>
        <w:trPr>
          <w:cantSplit/>
        </w:trPr>
        <w:tc>
          <w:tcPr>
            <w:tcW w:type="dxa" w:w="3024"/>
            <w:vAlign w:val="center"/>
            <w:tcMar>
              <w:top w:w="75" w:type="dxa"/>
              <w:start w:w="85" w:type="dxa"/>
              <w:bottom w:w="75" w:type="dxa"/>
              <w:end w:w="85" w:type="dxa"/>
            </w:tcMar>
            <w:shd w:fill="F6F9FC"/>
          </w:tcPr>
          <w:p>
            <w:pPr>
              <w:jc w:val="center"/>
            </w:pPr>
            <w:r>
              <w:rPr>
                <w:b/>
                <w:color w:val="1A477A"/>
                <w:sz w:val="18"/>
              </w:rPr>
              <w:t>Partition state</w:t>
            </w:r>
          </w:p>
        </w:tc>
        <w:tc>
          <w:tcPr>
            <w:tcW w:type="dxa" w:w="6624"/>
            <w:vAlign w:val="center"/>
            <w:tcMar>
              <w:top w:w="75" w:type="dxa"/>
              <w:start w:w="85" w:type="dxa"/>
              <w:bottom w:w="75" w:type="dxa"/>
              <w:end w:w="85" w:type="dxa"/>
            </w:tcMar>
          </w:tcPr>
          <w:p>
            <w:pPr>
              <w:jc w:val="left"/>
            </w:pPr>
            <w:r>
              <w:rPr>
                <w:sz w:val="18"/>
              </w:rPr>
              <w:t>Maintain current colouring, orbit information, and refinement transcript</w:t>
            </w:r>
          </w:p>
        </w:tc>
      </w:tr>
      <w:tr>
        <w:trPr>
          <w:cantSplit/>
        </w:trPr>
        <w:tc>
          <w:tcPr>
            <w:tcW w:type="dxa" w:w="3024"/>
            <w:vAlign w:val="center"/>
            <w:tcMar>
              <w:top w:w="75" w:type="dxa"/>
              <w:start w:w="85" w:type="dxa"/>
              <w:bottom w:w="75" w:type="dxa"/>
              <w:end w:w="85" w:type="dxa"/>
            </w:tcMar>
            <w:shd w:fill="F6F9FC"/>
          </w:tcPr>
          <w:p>
            <w:pPr>
              <w:jc w:val="center"/>
            </w:pPr>
            <w:r>
              <w:rPr>
                <w:b/>
                <w:color w:val="1A477A"/>
                <w:sz w:val="18"/>
              </w:rPr>
              <w:t>Branch selection</w:t>
            </w:r>
          </w:p>
        </w:tc>
        <w:tc>
          <w:tcPr>
            <w:tcW w:type="dxa" w:w="6624"/>
            <w:vAlign w:val="center"/>
            <w:tcMar>
              <w:top w:w="75" w:type="dxa"/>
              <w:start w:w="85" w:type="dxa"/>
              <w:bottom w:w="75" w:type="dxa"/>
              <w:end w:w="85" w:type="dxa"/>
            </w:tcMar>
          </w:tcPr>
          <w:p>
            <w:pPr>
              <w:jc w:val="left"/>
            </w:pPr>
            <w:r>
              <w:rPr>
                <w:sz w:val="18"/>
              </w:rPr>
              <w:t>Choose the next ambiguous cell using deterministic rules informed by the refinement plane</w:t>
            </w:r>
          </w:p>
        </w:tc>
      </w:tr>
      <w:tr>
        <w:trPr>
          <w:cantSplit/>
        </w:trPr>
        <w:tc>
          <w:tcPr>
            <w:tcW w:type="dxa" w:w="3024"/>
            <w:vAlign w:val="center"/>
            <w:tcMar>
              <w:top w:w="75" w:type="dxa"/>
              <w:start w:w="85" w:type="dxa"/>
              <w:bottom w:w="75" w:type="dxa"/>
              <w:end w:w="85" w:type="dxa"/>
            </w:tcMar>
            <w:shd w:fill="F6F9FC"/>
          </w:tcPr>
          <w:p>
            <w:pPr>
              <w:jc w:val="center"/>
            </w:pPr>
            <w:r>
              <w:rPr>
                <w:b/>
                <w:color w:val="1A477A"/>
                <w:sz w:val="18"/>
              </w:rPr>
              <w:t>Individualization</w:t>
            </w:r>
          </w:p>
        </w:tc>
        <w:tc>
          <w:tcPr>
            <w:tcW w:type="dxa" w:w="6624"/>
            <w:vAlign w:val="center"/>
            <w:tcMar>
              <w:top w:w="75" w:type="dxa"/>
              <w:start w:w="85" w:type="dxa"/>
              <w:bottom w:w="75" w:type="dxa"/>
              <w:end w:w="85" w:type="dxa"/>
            </w:tcMar>
          </w:tcPr>
          <w:p>
            <w:pPr>
              <w:jc w:val="left"/>
            </w:pPr>
            <w:r>
              <w:rPr>
                <w:sz w:val="18"/>
              </w:rPr>
              <w:t>Assign a singleton identity to one candidate vertex in the selected cell</w:t>
            </w:r>
          </w:p>
        </w:tc>
      </w:tr>
      <w:tr>
        <w:trPr>
          <w:cantSplit/>
        </w:trPr>
        <w:tc>
          <w:tcPr>
            <w:tcW w:type="dxa" w:w="3024"/>
            <w:vAlign w:val="center"/>
            <w:tcMar>
              <w:top w:w="75" w:type="dxa"/>
              <w:start w:w="85" w:type="dxa"/>
              <w:bottom w:w="75" w:type="dxa"/>
              <w:end w:w="85" w:type="dxa"/>
            </w:tcMar>
            <w:shd w:fill="F6F9FC"/>
          </w:tcPr>
          <w:p>
            <w:pPr>
              <w:jc w:val="center"/>
            </w:pPr>
            <w:r>
              <w:rPr>
                <w:b/>
                <w:color w:val="1A477A"/>
                <w:sz w:val="18"/>
              </w:rPr>
              <w:t>Refinement after individualization</w:t>
            </w:r>
          </w:p>
        </w:tc>
        <w:tc>
          <w:tcPr>
            <w:tcW w:type="dxa" w:w="6624"/>
            <w:vAlign w:val="center"/>
            <w:tcMar>
              <w:top w:w="75" w:type="dxa"/>
              <w:start w:w="85" w:type="dxa"/>
              <w:bottom w:w="75" w:type="dxa"/>
              <w:end w:w="85" w:type="dxa"/>
            </w:tcMar>
          </w:tcPr>
          <w:p>
            <w:pPr>
              <w:jc w:val="left"/>
            </w:pPr>
            <w:r>
              <w:rPr>
                <w:sz w:val="18"/>
              </w:rPr>
              <w:t>Re-run exact-safe refinement until stable</w:t>
            </w:r>
          </w:p>
        </w:tc>
      </w:tr>
      <w:tr>
        <w:trPr>
          <w:cantSplit/>
        </w:trPr>
        <w:tc>
          <w:tcPr>
            <w:tcW w:type="dxa" w:w="3024"/>
            <w:vAlign w:val="center"/>
            <w:tcMar>
              <w:top w:w="75" w:type="dxa"/>
              <w:start w:w="85" w:type="dxa"/>
              <w:bottom w:w="75" w:type="dxa"/>
              <w:end w:w="85" w:type="dxa"/>
            </w:tcMar>
            <w:shd w:fill="F6F9FC"/>
          </w:tcPr>
          <w:p>
            <w:pPr>
              <w:jc w:val="center"/>
            </w:pPr>
            <w:r>
              <w:rPr>
                <w:b/>
                <w:color w:val="1A477A"/>
                <w:sz w:val="18"/>
              </w:rPr>
              <w:t>Automorphism pruning</w:t>
            </w:r>
          </w:p>
        </w:tc>
        <w:tc>
          <w:tcPr>
            <w:tcW w:type="dxa" w:w="6624"/>
            <w:vAlign w:val="center"/>
            <w:tcMar>
              <w:top w:w="75" w:type="dxa"/>
              <w:start w:w="85" w:type="dxa"/>
              <w:bottom w:w="75" w:type="dxa"/>
              <w:end w:w="85" w:type="dxa"/>
            </w:tcMar>
          </w:tcPr>
          <w:p>
            <w:pPr>
              <w:jc w:val="left"/>
            </w:pPr>
            <w:r>
              <w:rPr>
                <w:sz w:val="18"/>
              </w:rPr>
              <w:t>Use discovered symmetries to prune equivalent branches</w:t>
            </w:r>
          </w:p>
        </w:tc>
      </w:tr>
      <w:tr>
        <w:trPr>
          <w:cantSplit/>
        </w:trPr>
        <w:tc>
          <w:tcPr>
            <w:tcW w:type="dxa" w:w="3024"/>
            <w:vAlign w:val="center"/>
            <w:tcMar>
              <w:top w:w="75" w:type="dxa"/>
              <w:start w:w="85" w:type="dxa"/>
              <w:bottom w:w="75" w:type="dxa"/>
              <w:end w:w="85" w:type="dxa"/>
            </w:tcMar>
            <w:shd w:fill="F6F9FC"/>
          </w:tcPr>
          <w:p>
            <w:pPr>
              <w:jc w:val="center"/>
            </w:pPr>
            <w:r>
              <w:rPr>
                <w:b/>
                <w:color w:val="1A477A"/>
                <w:sz w:val="18"/>
              </w:rPr>
              <w:t>Leaf evaluation</w:t>
            </w:r>
          </w:p>
        </w:tc>
        <w:tc>
          <w:tcPr>
            <w:tcW w:type="dxa" w:w="6624"/>
            <w:vAlign w:val="center"/>
            <w:tcMar>
              <w:top w:w="75" w:type="dxa"/>
              <w:start w:w="85" w:type="dxa"/>
              <w:bottom w:w="75" w:type="dxa"/>
              <w:end w:w="85" w:type="dxa"/>
            </w:tcMar>
          </w:tcPr>
          <w:p>
            <w:pPr>
              <w:jc w:val="left"/>
            </w:pPr>
            <w:r>
              <w:rPr>
                <w:sz w:val="18"/>
              </w:rPr>
              <w:t>Serialize canonically labeled graph candidate and compare lexicographically or by agreed canonical order</w:t>
            </w:r>
          </w:p>
        </w:tc>
      </w:tr>
      <w:tr>
        <w:trPr>
          <w:cantSplit/>
        </w:trPr>
        <w:tc>
          <w:tcPr>
            <w:tcW w:type="dxa" w:w="3024"/>
            <w:vAlign w:val="center"/>
            <w:tcMar>
              <w:top w:w="75" w:type="dxa"/>
              <w:start w:w="85" w:type="dxa"/>
              <w:bottom w:w="75" w:type="dxa"/>
              <w:end w:w="85" w:type="dxa"/>
            </w:tcMar>
            <w:shd w:fill="F6F9FC"/>
          </w:tcPr>
          <w:p>
            <w:pPr>
              <w:jc w:val="center"/>
            </w:pPr>
            <w:r>
              <w:rPr>
                <w:b/>
                <w:color w:val="1A477A"/>
                <w:sz w:val="18"/>
              </w:rPr>
              <w:t>Best representative selection</w:t>
            </w:r>
          </w:p>
        </w:tc>
        <w:tc>
          <w:tcPr>
            <w:tcW w:type="dxa" w:w="6624"/>
            <w:vAlign w:val="center"/>
            <w:tcMar>
              <w:top w:w="75" w:type="dxa"/>
              <w:start w:w="85" w:type="dxa"/>
              <w:bottom w:w="75" w:type="dxa"/>
              <w:end w:w="85" w:type="dxa"/>
            </w:tcMar>
          </w:tcPr>
          <w:p>
            <w:pPr>
              <w:jc w:val="left"/>
            </w:pPr>
            <w:r>
              <w:rPr>
                <w:sz w:val="18"/>
              </w:rPr>
              <w:t>Retain the canonical leaf and its induced vertex permutation</w:t>
            </w:r>
          </w:p>
        </w:tc>
      </w:tr>
    </w:tbl>
    <w:p/>
    <w:p>
      <w:pPr/>
      <w:r>
        <w:t>The exact output of TopHash Canon is not the permutation alone. It is the entire canonicalized graph object, its serialization, the permutation that maps the original input to that canonical order, and enough state to independently validate the path taken to reach it.</w:t>
      </w:r>
    </w:p>
    <w:p>
      <w:pPr>
        <w:pStyle w:val="Heading1"/>
        <w:keepNext/>
      </w:pPr>
      <w:r>
        <w:t>10. Canonical Serialization and Exact ID</w:t>
      </w:r>
    </w:p>
    <w:p>
      <w:pPr/>
      <w:r>
        <w:t>Canonical serialization is the representation that acts as the complete invariant. It should be explicit, easy to parse, versioned, and deterministic. The serialization may be variable-length; fixed width is not a requirement for exactness.</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880"/>
            <w:vAlign w:val="center"/>
            <w:shd w:fill="B9CCE4"/>
            <w:tcMar>
              <w:top w:w="70" w:type="dxa"/>
              <w:start w:w="80" w:type="dxa"/>
              <w:bottom w:w="70" w:type="dxa"/>
              <w:end w:w="80" w:type="dxa"/>
            </w:tcMar>
          </w:tcPr>
          <w:p>
            <w:pPr>
              <w:jc w:val="center"/>
            </w:pPr>
            <w:r>
              <w:rPr>
                <w:b/>
                <w:color w:val="1A477A"/>
                <w:sz w:val="18"/>
              </w:rPr>
              <w:t>Field</w:t>
            </w:r>
          </w:p>
        </w:tc>
        <w:tc>
          <w:tcPr>
            <w:tcW w:type="dxa" w:w="6768"/>
            <w:vAlign w:val="center"/>
            <w:shd w:fill="B9CCE4"/>
            <w:tcMar>
              <w:top w:w="70" w:type="dxa"/>
              <w:start w:w="80" w:type="dxa"/>
              <w:bottom w:w="70" w:type="dxa"/>
              <w:end w:w="80" w:type="dxa"/>
            </w:tcMar>
          </w:tcPr>
          <w:p>
            <w:pPr>
              <w:jc w:val="center"/>
            </w:pPr>
            <w:r>
              <w:rPr>
                <w:b/>
                <w:color w:val="1A477A"/>
                <w:sz w:val="18"/>
              </w:rPr>
              <w:t>Requirement</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schema_version</w:t>
            </w:r>
          </w:p>
        </w:tc>
        <w:tc>
          <w:tcPr>
            <w:tcW w:type="dxa" w:w="6768"/>
            <w:vAlign w:val="center"/>
            <w:tcMar>
              <w:top w:w="75" w:type="dxa"/>
              <w:start w:w="85" w:type="dxa"/>
              <w:bottom w:w="75" w:type="dxa"/>
              <w:end w:w="85" w:type="dxa"/>
            </w:tcMar>
          </w:tcPr>
          <w:p>
            <w:pPr>
              <w:jc w:val="left"/>
            </w:pPr>
            <w:r>
              <w:rPr>
                <w:sz w:val="18"/>
              </w:rPr>
              <w:t>Mandatory semantic version of the canonical serialization schema</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graph_model</w:t>
            </w:r>
          </w:p>
        </w:tc>
        <w:tc>
          <w:tcPr>
            <w:tcW w:type="dxa" w:w="6768"/>
            <w:vAlign w:val="center"/>
            <w:tcMar>
              <w:top w:w="75" w:type="dxa"/>
              <w:start w:w="85" w:type="dxa"/>
              <w:bottom w:w="75" w:type="dxa"/>
              <w:end w:w="85" w:type="dxa"/>
            </w:tcMar>
          </w:tcPr>
          <w:p>
            <w:pPr>
              <w:jc w:val="left"/>
            </w:pPr>
            <w:r>
              <w:rPr>
                <w:sz w:val="18"/>
              </w:rPr>
              <w:t>Declares the supported graph class under which exactness is claimed</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n_vertices / n_edges</w:t>
            </w:r>
          </w:p>
        </w:tc>
        <w:tc>
          <w:tcPr>
            <w:tcW w:type="dxa" w:w="6768"/>
            <w:vAlign w:val="center"/>
            <w:tcMar>
              <w:top w:w="75" w:type="dxa"/>
              <w:start w:w="85" w:type="dxa"/>
              <w:bottom w:w="75" w:type="dxa"/>
              <w:end w:w="85" w:type="dxa"/>
            </w:tcMar>
          </w:tcPr>
          <w:p>
            <w:pPr>
              <w:jc w:val="left"/>
            </w:pPr>
            <w:r>
              <w:rPr>
                <w:sz w:val="18"/>
              </w:rPr>
              <w:t>Stored redundantly for validation and rapid sanity checks</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canonical_order</w:t>
            </w:r>
          </w:p>
        </w:tc>
        <w:tc>
          <w:tcPr>
            <w:tcW w:type="dxa" w:w="6768"/>
            <w:vAlign w:val="center"/>
            <w:tcMar>
              <w:top w:w="75" w:type="dxa"/>
              <w:start w:w="85" w:type="dxa"/>
              <w:bottom w:w="75" w:type="dxa"/>
              <w:end w:w="85" w:type="dxa"/>
            </w:tcMar>
          </w:tcPr>
          <w:p>
            <w:pPr>
              <w:jc w:val="left"/>
            </w:pPr>
            <w:r>
              <w:rPr>
                <w:sz w:val="18"/>
              </w:rPr>
              <w:t>Permutation or explicit canonical vertex order</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canonical_edge_list</w:t>
            </w:r>
          </w:p>
        </w:tc>
        <w:tc>
          <w:tcPr>
            <w:tcW w:type="dxa" w:w="6768"/>
            <w:vAlign w:val="center"/>
            <w:tcMar>
              <w:top w:w="75" w:type="dxa"/>
              <w:start w:w="85" w:type="dxa"/>
              <w:bottom w:w="75" w:type="dxa"/>
              <w:end w:w="85" w:type="dxa"/>
            </w:tcMar>
          </w:tcPr>
          <w:p>
            <w:pPr>
              <w:jc w:val="left"/>
            </w:pPr>
            <w:r>
              <w:rPr>
                <w:sz w:val="18"/>
              </w:rPr>
              <w:t>Canonical adjacency expressed in a deterministic sorted form</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optional annotations</w:t>
            </w:r>
          </w:p>
        </w:tc>
        <w:tc>
          <w:tcPr>
            <w:tcW w:type="dxa" w:w="6768"/>
            <w:vAlign w:val="center"/>
            <w:tcMar>
              <w:top w:w="75" w:type="dxa"/>
              <w:start w:w="85" w:type="dxa"/>
              <w:bottom w:w="75" w:type="dxa"/>
              <w:end w:w="85" w:type="dxa"/>
            </w:tcMar>
          </w:tcPr>
          <w:p>
            <w:pPr>
              <w:jc w:val="left"/>
            </w:pPr>
            <w:r>
              <w:rPr>
                <w:sz w:val="18"/>
              </w:rPr>
              <w:t>Only if permitted by the exact graph model and canonically serialized</w:t>
            </w:r>
          </w:p>
        </w:tc>
      </w:tr>
    </w:tbl>
    <w:p/>
    <w:p>
      <w:pPr/>
      <w:r>
        <w:t>TopHash ID is defined as a cryptographic digest of the canonical serialization. The recommended default is SHA-256 over the exact bytes of the canonical UTF-8 serialization. The digest is versioned by the serialization schema so that future schema upgrades do not silently create cross-version ambiguity.</w:t>
      </w:r>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Identity hierarchy</w:t>
            </w:r>
          </w:p>
        </w:tc>
      </w:tr>
      <w:tr>
        <w:tc>
          <w:tcPr>
            <w:tcW w:type="dxa" w:w="9648"/>
            <w:shd w:fill="F7FAFD"/>
            <w:tcMar>
              <w:top w:w="100" w:type="dxa"/>
              <w:start w:w="120" w:type="dxa"/>
              <w:bottom w:w="100" w:type="dxa"/>
              <w:end w:w="120" w:type="dxa"/>
            </w:tcMar>
          </w:tcPr>
          <w:p>
            <w:pPr>
              <w:pStyle w:val="CodeBlock"/>
              <w:ind w:left="72" w:right="72"/>
            </w:pPr>
            <w:r>
              <w:t>Source of truth: canonical serialization bytes</w:t>
              <w:br/>
              <w:t>Operational identity: SHA-256(canonical serialization)</w:t>
              <w:br/>
              <w:t>Optional UX identity: shortened display token derived from the digest</w:t>
              <w:br/>
              <w:t>Approximate retrieval key: TopHash Search descriptor (separate namespace)</w:t>
            </w:r>
          </w:p>
        </w:tc>
      </w:tr>
    </w:tbl>
    <w:p/>
    <w:p>
      <w:pPr>
        <w:pStyle w:val="Heading1"/>
        <w:keepNext/>
      </w:pPr>
      <w:r>
        <w:t>11. TopHash Cert Specification</w:t>
      </w:r>
    </w:p>
    <w:p>
      <w:pPr/>
      <w:r>
        <w:t>TopHash Cert packages exact outputs into an auditable certificate object. The certificate is designed for internal compliance, third-party verification, product audit trails, and reproducible benchmark evidence.</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952"/>
            <w:vAlign w:val="center"/>
            <w:shd w:fill="B9CCE4"/>
            <w:tcMar>
              <w:top w:w="70" w:type="dxa"/>
              <w:start w:w="80" w:type="dxa"/>
              <w:bottom w:w="70" w:type="dxa"/>
              <w:end w:w="80" w:type="dxa"/>
            </w:tcMar>
          </w:tcPr>
          <w:p>
            <w:pPr>
              <w:jc w:val="center"/>
            </w:pPr>
            <w:r>
              <w:rPr>
                <w:b/>
                <w:color w:val="1A477A"/>
                <w:sz w:val="18"/>
              </w:rPr>
              <w:t>Certificate component</w:t>
            </w:r>
          </w:p>
        </w:tc>
        <w:tc>
          <w:tcPr>
            <w:tcW w:type="dxa" w:w="6696"/>
            <w:vAlign w:val="center"/>
            <w:shd w:fill="B9CCE4"/>
            <w:tcMar>
              <w:top w:w="70" w:type="dxa"/>
              <w:start w:w="80" w:type="dxa"/>
              <w:bottom w:w="70" w:type="dxa"/>
              <w:end w:w="80" w:type="dxa"/>
            </w:tcMar>
          </w:tcPr>
          <w:p>
            <w:pPr>
              <w:jc w:val="center"/>
            </w:pPr>
            <w:r>
              <w:rPr>
                <w:b/>
                <w:color w:val="1A477A"/>
                <w:sz w:val="18"/>
              </w:rPr>
              <w:t>Contents</w:t>
            </w:r>
          </w:p>
        </w:tc>
      </w:tr>
      <w:tr>
        <w:trPr>
          <w:cantSplit/>
        </w:trPr>
        <w:tc>
          <w:tcPr>
            <w:tcW w:type="dxa" w:w="2952"/>
            <w:vAlign w:val="center"/>
            <w:tcMar>
              <w:top w:w="75" w:type="dxa"/>
              <w:start w:w="85" w:type="dxa"/>
              <w:bottom w:w="75" w:type="dxa"/>
              <w:end w:w="85" w:type="dxa"/>
            </w:tcMar>
            <w:shd w:fill="F6F9FC"/>
          </w:tcPr>
          <w:p>
            <w:pPr>
              <w:jc w:val="center"/>
            </w:pPr>
            <w:r>
              <w:rPr>
                <w:b/>
                <w:color w:val="1A477A"/>
                <w:sz w:val="18"/>
              </w:rPr>
              <w:t>Input declaration</w:t>
            </w:r>
          </w:p>
        </w:tc>
        <w:tc>
          <w:tcPr>
            <w:tcW w:type="dxa" w:w="6696"/>
            <w:vAlign w:val="center"/>
            <w:tcMar>
              <w:top w:w="75" w:type="dxa"/>
              <w:start w:w="85" w:type="dxa"/>
              <w:bottom w:w="75" w:type="dxa"/>
              <w:end w:w="85" w:type="dxa"/>
            </w:tcMar>
          </w:tcPr>
          <w:p>
            <w:pPr>
              <w:jc w:val="left"/>
            </w:pPr>
            <w:r>
              <w:rPr>
                <w:sz w:val="18"/>
              </w:rPr>
              <w:t>Graph model, normalization rules, version set, parameter bundle</w:t>
            </w:r>
          </w:p>
        </w:tc>
      </w:tr>
      <w:tr>
        <w:trPr>
          <w:cantSplit/>
        </w:trPr>
        <w:tc>
          <w:tcPr>
            <w:tcW w:type="dxa" w:w="2952"/>
            <w:vAlign w:val="center"/>
            <w:tcMar>
              <w:top w:w="75" w:type="dxa"/>
              <w:start w:w="85" w:type="dxa"/>
              <w:bottom w:w="75" w:type="dxa"/>
              <w:end w:w="85" w:type="dxa"/>
            </w:tcMar>
            <w:shd w:fill="F6F9FC"/>
          </w:tcPr>
          <w:p>
            <w:pPr>
              <w:jc w:val="center"/>
            </w:pPr>
            <w:r>
              <w:rPr>
                <w:b/>
                <w:color w:val="1A477A"/>
                <w:sz w:val="18"/>
              </w:rPr>
              <w:t>Canonical result</w:t>
            </w:r>
          </w:p>
        </w:tc>
        <w:tc>
          <w:tcPr>
            <w:tcW w:type="dxa" w:w="6696"/>
            <w:vAlign w:val="center"/>
            <w:tcMar>
              <w:top w:w="75" w:type="dxa"/>
              <w:start w:w="85" w:type="dxa"/>
              <w:bottom w:w="75" w:type="dxa"/>
              <w:end w:w="85" w:type="dxa"/>
            </w:tcMar>
          </w:tcPr>
          <w:p>
            <w:pPr>
              <w:jc w:val="left"/>
            </w:pPr>
            <w:r>
              <w:rPr>
                <w:sz w:val="18"/>
              </w:rPr>
              <w:t>Canonical serialization, canonical order, exact digest</w:t>
            </w:r>
          </w:p>
        </w:tc>
      </w:tr>
      <w:tr>
        <w:trPr>
          <w:cantSplit/>
        </w:trPr>
        <w:tc>
          <w:tcPr>
            <w:tcW w:type="dxa" w:w="2952"/>
            <w:vAlign w:val="center"/>
            <w:tcMar>
              <w:top w:w="75" w:type="dxa"/>
              <w:start w:w="85" w:type="dxa"/>
              <w:bottom w:w="75" w:type="dxa"/>
              <w:end w:w="85" w:type="dxa"/>
            </w:tcMar>
            <w:shd w:fill="F6F9FC"/>
          </w:tcPr>
          <w:p>
            <w:pPr>
              <w:jc w:val="center"/>
            </w:pPr>
            <w:r>
              <w:rPr>
                <w:b/>
                <w:color w:val="1A477A"/>
                <w:sz w:val="18"/>
              </w:rPr>
              <w:t>Refinement trace</w:t>
            </w:r>
          </w:p>
        </w:tc>
        <w:tc>
          <w:tcPr>
            <w:tcW w:type="dxa" w:w="6696"/>
            <w:vAlign w:val="center"/>
            <w:tcMar>
              <w:top w:w="75" w:type="dxa"/>
              <w:start w:w="85" w:type="dxa"/>
              <w:bottom w:w="75" w:type="dxa"/>
              <w:end w:w="85" w:type="dxa"/>
            </w:tcMar>
          </w:tcPr>
          <w:p>
            <w:pPr>
              <w:jc w:val="left"/>
            </w:pPr>
            <w:r>
              <w:rPr>
                <w:sz w:val="18"/>
              </w:rPr>
              <w:t>Colour refinement steps, quotient graph recursion, branch decisions</w:t>
            </w:r>
          </w:p>
        </w:tc>
      </w:tr>
      <w:tr>
        <w:trPr>
          <w:cantSplit/>
        </w:trPr>
        <w:tc>
          <w:tcPr>
            <w:tcW w:type="dxa" w:w="2952"/>
            <w:vAlign w:val="center"/>
            <w:tcMar>
              <w:top w:w="75" w:type="dxa"/>
              <w:start w:w="85" w:type="dxa"/>
              <w:bottom w:w="75" w:type="dxa"/>
              <w:end w:w="85" w:type="dxa"/>
            </w:tcMar>
            <w:shd w:fill="F6F9FC"/>
          </w:tcPr>
          <w:p>
            <w:pPr>
              <w:jc w:val="center"/>
            </w:pPr>
            <w:r>
              <w:rPr>
                <w:b/>
                <w:color w:val="1A477A"/>
                <w:sz w:val="18"/>
              </w:rPr>
              <w:t>Search witness</w:t>
            </w:r>
          </w:p>
        </w:tc>
        <w:tc>
          <w:tcPr>
            <w:tcW w:type="dxa" w:w="6696"/>
            <w:vAlign w:val="center"/>
            <w:tcMar>
              <w:top w:w="75" w:type="dxa"/>
              <w:start w:w="85" w:type="dxa"/>
              <w:bottom w:w="75" w:type="dxa"/>
              <w:end w:w="85" w:type="dxa"/>
            </w:tcMar>
          </w:tcPr>
          <w:p>
            <w:pPr>
              <w:jc w:val="left"/>
            </w:pPr>
            <w:r>
              <w:rPr>
                <w:sz w:val="18"/>
              </w:rPr>
              <w:t>Candidate leaf comparisons, pruned branches, automorphism-based reductions</w:t>
            </w:r>
          </w:p>
        </w:tc>
      </w:tr>
      <w:tr>
        <w:trPr>
          <w:cantSplit/>
        </w:trPr>
        <w:tc>
          <w:tcPr>
            <w:tcW w:type="dxa" w:w="2952"/>
            <w:vAlign w:val="center"/>
            <w:tcMar>
              <w:top w:w="75" w:type="dxa"/>
              <w:start w:w="85" w:type="dxa"/>
              <w:bottom w:w="75" w:type="dxa"/>
              <w:end w:w="85" w:type="dxa"/>
            </w:tcMar>
            <w:shd w:fill="F6F9FC"/>
          </w:tcPr>
          <w:p>
            <w:pPr>
              <w:jc w:val="center"/>
            </w:pPr>
            <w:r>
              <w:rPr>
                <w:b/>
                <w:color w:val="1A477A"/>
                <w:sz w:val="18"/>
              </w:rPr>
              <w:t>Validation records</w:t>
            </w:r>
          </w:p>
        </w:tc>
        <w:tc>
          <w:tcPr>
            <w:tcW w:type="dxa" w:w="6696"/>
            <w:vAlign w:val="center"/>
            <w:tcMar>
              <w:top w:w="75" w:type="dxa"/>
              <w:start w:w="85" w:type="dxa"/>
              <w:bottom w:w="75" w:type="dxa"/>
              <w:end w:w="85" w:type="dxa"/>
            </w:tcMar>
          </w:tcPr>
          <w:p>
            <w:pPr>
              <w:jc w:val="left"/>
            </w:pPr>
            <w:r>
              <w:rPr>
                <w:sz w:val="18"/>
              </w:rPr>
              <w:t>Self-checks, replay checks, serialization checksum, optional cross-engine agreement</w:t>
            </w:r>
          </w:p>
        </w:tc>
      </w:tr>
      <w:tr>
        <w:trPr>
          <w:cantSplit/>
        </w:trPr>
        <w:tc>
          <w:tcPr>
            <w:tcW w:type="dxa" w:w="2952"/>
            <w:vAlign w:val="center"/>
            <w:tcMar>
              <w:top w:w="75" w:type="dxa"/>
              <w:start w:w="85" w:type="dxa"/>
              <w:bottom w:w="75" w:type="dxa"/>
              <w:end w:w="85" w:type="dxa"/>
            </w:tcMar>
            <w:shd w:fill="F6F9FC"/>
          </w:tcPr>
          <w:p>
            <w:pPr>
              <w:jc w:val="center"/>
            </w:pPr>
            <w:r>
              <w:rPr>
                <w:b/>
                <w:color w:val="1A477A"/>
                <w:sz w:val="18"/>
              </w:rPr>
              <w:t>Human explanation layer</w:t>
            </w:r>
          </w:p>
        </w:tc>
        <w:tc>
          <w:tcPr>
            <w:tcW w:type="dxa" w:w="6696"/>
            <w:vAlign w:val="center"/>
            <w:tcMar>
              <w:top w:w="75" w:type="dxa"/>
              <w:start w:w="85" w:type="dxa"/>
              <w:bottom w:w="75" w:type="dxa"/>
              <w:end w:w="85" w:type="dxa"/>
            </w:tcMar>
          </w:tcPr>
          <w:p>
            <w:pPr>
              <w:jc w:val="left"/>
            </w:pPr>
            <w:r>
              <w:rPr>
                <w:sz w:val="18"/>
              </w:rPr>
              <w:t>Summary of why the graph was distinguished and what ambiguity remained before branching</w:t>
            </w:r>
          </w:p>
        </w:tc>
      </w:tr>
    </w:tbl>
    <w:p/>
    <w:p>
      <w:pPr/>
      <w:r>
        <w:t>Certificates should support two modes: a full internal mode containing the full trace and a compact external mode containing the canonical serialization, digest, version declaration, and minimal replay instructions.</w:t>
      </w:r>
    </w:p>
    <w:p>
      <w:pPr>
        <w:pStyle w:val="Heading1"/>
        <w:keepNext/>
      </w:pPr>
      <w:r>
        <w:t>12. Correctness Rules</w:t>
      </w:r>
    </w:p>
    <w:p>
      <w:pPr>
        <w:ind w:left="288" w:hanging="259"/>
      </w:pPr>
      <w:r>
        <w:rPr>
          <w:rFonts w:ascii="Aptos" w:hAnsi="Aptos"/>
          <w:sz w:val="21"/>
        </w:rPr>
        <w:t>• Only canonical serialization equality may be presented as exact structural equality.</w:t>
      </w:r>
    </w:p>
    <w:p>
      <w:pPr>
        <w:ind w:left="288" w:hanging="259"/>
      </w:pPr>
      <w:r>
        <w:rPr>
          <w:rFonts w:ascii="Aptos" w:hAnsi="Aptos"/>
          <w:sz w:val="21"/>
        </w:rPr>
        <w:t>• Digest collisions must be treated as a cryptographic risk model, not a mathematical guarantee; the canonical serialization remains authoritative.</w:t>
      </w:r>
    </w:p>
    <w:p>
      <w:pPr>
        <w:ind w:left="288" w:hanging="259"/>
      </w:pPr>
      <w:r>
        <w:rPr>
          <w:rFonts w:ascii="Aptos" w:hAnsi="Aptos"/>
          <w:sz w:val="21"/>
        </w:rPr>
        <w:t>• Approximate descriptors, rooted signatures, and ranking heuristics may influence search order but may not alter the correctness criterion.</w:t>
      </w:r>
    </w:p>
    <w:p>
      <w:pPr>
        <w:ind w:left="288" w:hanging="259"/>
      </w:pPr>
      <w:r>
        <w:rPr>
          <w:rFonts w:ascii="Aptos" w:hAnsi="Aptos"/>
          <w:sz w:val="21"/>
        </w:rPr>
        <w:t>• Any optimization that can change the chosen canonical representative must be versioned and treated as a canonization algorithm change.</w:t>
      </w:r>
    </w:p>
    <w:p>
      <w:pPr>
        <w:ind w:left="288" w:hanging="259"/>
      </w:pPr>
      <w:r>
        <w:rPr>
          <w:rFonts w:ascii="Aptos" w:hAnsi="Aptos"/>
          <w:sz w:val="21"/>
        </w:rPr>
        <w:t>• If the input graph falls outside the supported graph model, the system must refuse exact mode or downgrade the response to non-exact diagnostic mode.</w:t>
      </w:r>
    </w:p>
    <w:p>
      <w:pPr>
        <w:pStyle w:val="Heading1"/>
        <w:keepNext/>
      </w:pPr>
      <w:r>
        <w:t>13. API and Schema Specification</w:t>
      </w:r>
    </w:p>
    <w:p>
      <w:pPr/>
      <w:r>
        <w:t>A reference Python API and service API are recommended so that the exactification stack can be embedded into libraries, batch jobs, and product services. The exact plane should be callable independently from the approximate plane.</w:t>
      </w:r>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Reference Python API</w:t>
            </w:r>
          </w:p>
        </w:tc>
      </w:tr>
      <w:tr>
        <w:tc>
          <w:tcPr>
            <w:tcW w:type="dxa" w:w="9648"/>
            <w:shd w:fill="F7FAFD"/>
            <w:tcMar>
              <w:top w:w="100" w:type="dxa"/>
              <w:start w:w="120" w:type="dxa"/>
              <w:bottom w:w="100" w:type="dxa"/>
              <w:end w:w="120" w:type="dxa"/>
            </w:tcMar>
          </w:tcPr>
          <w:p>
            <w:pPr>
              <w:pStyle w:val="CodeBlock"/>
              <w:ind w:left="72" w:right="72"/>
            </w:pPr>
            <w:r>
              <w:t>class TopHashSearch:</w:t>
              <w:br/>
              <w:t xml:space="preserve">    def compute(graph) -&gt; SearchDescriptor</w:t>
              <w:br/>
              <w:t xml:space="preserve">    def explain(graph) -&gt; SearchExplainPayload</w:t>
              <w:br/>
              <w:br/>
              <w:t>class TopHashRefine:</w:t>
              <w:br/>
              <w:t xml:space="preserve">    def refine(graph) -&gt; RefinementState</w:t>
              <w:br/>
              <w:br/>
              <w:t>class TopHashCanon:</w:t>
              <w:br/>
              <w:t xml:space="preserve">    def canonize(graph) -&gt; CanonResult</w:t>
              <w:br/>
              <w:br/>
              <w:t>class TopHashCert:</w:t>
              <w:br/>
              <w:t xml:space="preserve">    def certify(graph) -&gt; Certificate</w:t>
              <w:br/>
              <w:br/>
              <w:t>class TopHashX:</w:t>
              <w:br/>
              <w:t xml:space="preserve">    def compute(graph) -&gt; TopHashXResult</w:t>
            </w:r>
          </w:p>
        </w:tc>
      </w:tr>
    </w:tbl>
    <w:p/>
    <w:tbl>
      <w:tblPr>
        <w:tblW w:type="auto" w:w="0"/>
        <w:jc w:val="center"/>
        <w:tblLayout w:type="fixed"/>
        <w:tblLook w:firstColumn="1" w:firstRow="1" w:lastColumn="0" w:lastRow="0" w:noHBand="0" w:noVBand="1" w:val="04A0"/>
      </w:tblPr>
      <w:tblGrid>
        <w:gridCol w:w="4824"/>
        <w:gridCol w:w="4824"/>
      </w:tblGrid>
      <w:tr>
        <w:trPr>
          <w:tblHeader w:val="true"/>
        </w:trPr>
        <w:tc>
          <w:tcPr>
            <w:tcW w:type="dxa" w:w="2880"/>
            <w:vAlign w:val="center"/>
            <w:shd w:fill="B9CCE4"/>
            <w:tcMar>
              <w:top w:w="70" w:type="dxa"/>
              <w:start w:w="80" w:type="dxa"/>
              <w:bottom w:w="70" w:type="dxa"/>
              <w:end w:w="80" w:type="dxa"/>
            </w:tcMar>
          </w:tcPr>
          <w:p>
            <w:pPr>
              <w:jc w:val="center"/>
            </w:pPr>
            <w:r>
              <w:rPr>
                <w:b/>
                <w:color w:val="1A477A"/>
                <w:sz w:val="18"/>
              </w:rPr>
              <w:t>Service endpoint</w:t>
            </w:r>
          </w:p>
        </w:tc>
        <w:tc>
          <w:tcPr>
            <w:tcW w:type="dxa" w:w="6768"/>
            <w:vAlign w:val="center"/>
            <w:shd w:fill="B9CCE4"/>
            <w:tcMar>
              <w:top w:w="70" w:type="dxa"/>
              <w:start w:w="80" w:type="dxa"/>
              <w:bottom w:w="70" w:type="dxa"/>
              <w:end w:w="80" w:type="dxa"/>
            </w:tcMar>
          </w:tcPr>
          <w:p>
            <w:pPr>
              <w:jc w:val="center"/>
            </w:pPr>
            <w:r>
              <w:rPr>
                <w:b/>
                <w:color w:val="1A477A"/>
                <w:sz w:val="18"/>
              </w:rPr>
              <w:t>Purpose</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POST /search/descriptor</w:t>
            </w:r>
          </w:p>
        </w:tc>
        <w:tc>
          <w:tcPr>
            <w:tcW w:type="dxa" w:w="6768"/>
            <w:vAlign w:val="center"/>
            <w:tcMar>
              <w:top w:w="75" w:type="dxa"/>
              <w:start w:w="85" w:type="dxa"/>
              <w:bottom w:w="75" w:type="dxa"/>
              <w:end w:w="85" w:type="dxa"/>
            </w:tcMar>
          </w:tcPr>
          <w:p>
            <w:pPr>
              <w:jc w:val="left"/>
            </w:pPr>
            <w:r>
              <w:rPr>
                <w:sz w:val="18"/>
              </w:rPr>
              <w:t>Return approximate descriptor and optional explanation payload</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POST /refine</w:t>
            </w:r>
          </w:p>
        </w:tc>
        <w:tc>
          <w:tcPr>
            <w:tcW w:type="dxa" w:w="6768"/>
            <w:vAlign w:val="center"/>
            <w:tcMar>
              <w:top w:w="75" w:type="dxa"/>
              <w:start w:w="85" w:type="dxa"/>
              <w:bottom w:w="75" w:type="dxa"/>
              <w:end w:w="85" w:type="dxa"/>
            </w:tcMar>
          </w:tcPr>
          <w:p>
            <w:pPr>
              <w:jc w:val="left"/>
            </w:pPr>
            <w:r>
              <w:rPr>
                <w:sz w:val="18"/>
              </w:rPr>
              <w:t>Return refinement state for diagnostics or staged workflows</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POST /canonize</w:t>
            </w:r>
          </w:p>
        </w:tc>
        <w:tc>
          <w:tcPr>
            <w:tcW w:type="dxa" w:w="6768"/>
            <w:vAlign w:val="center"/>
            <w:tcMar>
              <w:top w:w="75" w:type="dxa"/>
              <w:start w:w="85" w:type="dxa"/>
              <w:bottom w:w="75" w:type="dxa"/>
              <w:end w:w="85" w:type="dxa"/>
            </w:tcMar>
          </w:tcPr>
          <w:p>
            <w:pPr>
              <w:jc w:val="left"/>
            </w:pPr>
            <w:r>
              <w:rPr>
                <w:sz w:val="18"/>
              </w:rPr>
              <w:t>Return canonical serialization, permutation, and digest</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POST /certify</w:t>
            </w:r>
          </w:p>
        </w:tc>
        <w:tc>
          <w:tcPr>
            <w:tcW w:type="dxa" w:w="6768"/>
            <w:vAlign w:val="center"/>
            <w:tcMar>
              <w:top w:w="75" w:type="dxa"/>
              <w:start w:w="85" w:type="dxa"/>
              <w:bottom w:w="75" w:type="dxa"/>
              <w:end w:w="85" w:type="dxa"/>
            </w:tcMar>
          </w:tcPr>
          <w:p>
            <w:pPr>
              <w:jc w:val="left"/>
            </w:pPr>
            <w:r>
              <w:rPr>
                <w:sz w:val="18"/>
              </w:rPr>
              <w:t>Return full or compact certificate bundle</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POST /compare/exact</w:t>
            </w:r>
          </w:p>
        </w:tc>
        <w:tc>
          <w:tcPr>
            <w:tcW w:type="dxa" w:w="6768"/>
            <w:vAlign w:val="center"/>
            <w:tcMar>
              <w:top w:w="75" w:type="dxa"/>
              <w:start w:w="85" w:type="dxa"/>
              <w:bottom w:w="75" w:type="dxa"/>
              <w:end w:w="85" w:type="dxa"/>
            </w:tcMar>
          </w:tcPr>
          <w:p>
            <w:pPr>
              <w:jc w:val="left"/>
            </w:pPr>
            <w:r>
              <w:rPr>
                <w:sz w:val="18"/>
              </w:rPr>
              <w:t>Return exact equality / isomorphism result by canonical comparison</w:t>
            </w:r>
          </w:p>
        </w:tc>
      </w:tr>
      <w:tr>
        <w:trPr>
          <w:cantSplit/>
        </w:trPr>
        <w:tc>
          <w:tcPr>
            <w:tcW w:type="dxa" w:w="2880"/>
            <w:vAlign w:val="center"/>
            <w:tcMar>
              <w:top w:w="75" w:type="dxa"/>
              <w:start w:w="85" w:type="dxa"/>
              <w:bottom w:w="75" w:type="dxa"/>
              <w:end w:w="85" w:type="dxa"/>
            </w:tcMar>
            <w:shd w:fill="F6F9FC"/>
          </w:tcPr>
          <w:p>
            <w:pPr>
              <w:jc w:val="center"/>
            </w:pPr>
            <w:r>
              <w:rPr>
                <w:b/>
                <w:color w:val="1A477A"/>
                <w:sz w:val="18"/>
              </w:rPr>
              <w:t>POST /compare/approx</w:t>
            </w:r>
          </w:p>
        </w:tc>
        <w:tc>
          <w:tcPr>
            <w:tcW w:type="dxa" w:w="6768"/>
            <w:vAlign w:val="center"/>
            <w:tcMar>
              <w:top w:w="75" w:type="dxa"/>
              <w:start w:w="85" w:type="dxa"/>
              <w:bottom w:w="75" w:type="dxa"/>
              <w:end w:w="85" w:type="dxa"/>
            </w:tcMar>
          </w:tcPr>
          <w:p>
            <w:pPr>
              <w:jc w:val="left"/>
            </w:pPr>
            <w:r>
              <w:rPr>
                <w:sz w:val="18"/>
              </w:rPr>
              <w:t>Return descriptor distance, rank score, and match explanation</w:t>
            </w:r>
          </w:p>
        </w:tc>
      </w:tr>
    </w:tbl>
    <w:p/>
    <w:p>
      <w:pPr/>
      <w:r>
        <w:t>All responses should include: algorithm_version, serialization_version where applicable, supported_graph_model, deterministic parameter declaration, runtime metrics, and explainability references.</w:t>
      </w:r>
    </w:p>
    <w:p>
      <w:pPr>
        <w:pStyle w:val="Heading1"/>
        <w:keepNext/>
      </w:pPr>
      <w:r>
        <w:t>14. Data Models</w:t>
      </w:r>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Canonical result schema (illustrative JSON)</w:t>
            </w:r>
          </w:p>
        </w:tc>
      </w:tr>
      <w:tr>
        <w:tc>
          <w:tcPr>
            <w:tcW w:type="dxa" w:w="9648"/>
            <w:shd w:fill="F7FAFD"/>
            <w:tcMar>
              <w:top w:w="100" w:type="dxa"/>
              <w:start w:w="120" w:type="dxa"/>
              <w:bottom w:w="100" w:type="dxa"/>
              <w:end w:w="120" w:type="dxa"/>
            </w:tcMar>
          </w:tcPr>
          <w:p>
            <w:pPr>
              <w:pStyle w:val="CodeBlock"/>
              <w:ind w:left="72" w:right="72"/>
            </w:pPr>
            <w:r>
              <w:t>{</w:t>
              <w:br/>
              <w:t xml:space="preserve">  "algorithm_version": "1.0.0",</w:t>
              <w:br/>
              <w:t xml:space="preserve">  "graph_model": "simple_undirected_unlabeled",</w:t>
              <w:br/>
              <w:t xml:space="preserve">  "canonical_serialization_version": "1.0.0",</w:t>
              <w:br/>
              <w:t xml:space="preserve">  "n_vertices": 28,</w:t>
              <w:br/>
              <w:t xml:space="preserve">  "n_edges": 33,</w:t>
              <w:br/>
              <w:t xml:space="preserve">  "canonical_order": [4, 0, 11, 2, 7, ...],</w:t>
              <w:br/>
              <w:t xml:space="preserve">  "canonical_edge_list": [[0,1], [0,5], [1,3], ...],</w:t>
              <w:br/>
              <w:t xml:space="preserve">  "exact_id_sha256": "...",</w:t>
              <w:br/>
              <w:t xml:space="preserve">  "proof_ref": "cert:thx:2026:..."</w:t>
              <w:br/>
              <w:t>}</w:t>
            </w:r>
          </w:p>
        </w:tc>
      </w:tr>
    </w:tbl>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Refinement state schema (illustrative JSON)</w:t>
            </w:r>
          </w:p>
        </w:tc>
      </w:tr>
      <w:tr>
        <w:tc>
          <w:tcPr>
            <w:tcW w:type="dxa" w:w="9648"/>
            <w:shd w:fill="F7FAFD"/>
            <w:tcMar>
              <w:top w:w="100" w:type="dxa"/>
              <w:start w:w="120" w:type="dxa"/>
              <w:bottom w:w="100" w:type="dxa"/>
              <w:end w:w="120" w:type="dxa"/>
            </w:tcMar>
          </w:tcPr>
          <w:p>
            <w:pPr>
              <w:pStyle w:val="CodeBlock"/>
              <w:ind w:left="72" w:right="72"/>
            </w:pPr>
            <w:r>
              <w:t>{</w:t>
              <w:br/>
              <w:t xml:space="preserve">  "initial_cells": [[0,4,7], [1,2], ...],</w:t>
              <w:br/>
              <w:t xml:space="preserve">  "refinement_rounds": [...],</w:t>
              <w:br/>
              <w:t xml:space="preserve">  "stable_cells": [[4], [0,7], [1,2], ...],</w:t>
              <w:br/>
              <w:t xml:space="preserve">  "quotient_graph": {...},</w:t>
              <w:br/>
              <w:t xml:space="preserve">  "ambiguous_cells": [[0,7], [1,2]],</w:t>
              <w:br/>
              <w:t xml:space="preserve">  "branch_priority": ["cell_0", "cell_1"]</w:t>
              <w:br/>
              <w:t>}</w:t>
            </w:r>
          </w:p>
        </w:tc>
      </w:tr>
    </w:tbl>
    <w:p/>
    <w:p>
      <w:pPr>
        <w:pStyle w:val="Heading1"/>
        <w:keepNext/>
      </w:pPr>
      <w:r>
        <w:t>15. Performance and Complexity</w:t>
      </w:r>
    </w:p>
    <w:p>
      <w:pPr/>
      <w:r>
        <w:t>The exactification stack separates two performance regimes. Search remains vector-friendly and scalable. Canonization remains combinatorial and may be expensive on adversarial graph families, but refinement, quotient recursion, and caching are intended to reduce practical cost.</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944"/>
            <w:vAlign w:val="center"/>
            <w:shd w:fill="B9CCE4"/>
            <w:tcMar>
              <w:top w:w="70" w:type="dxa"/>
              <w:start w:w="80" w:type="dxa"/>
              <w:bottom w:w="70" w:type="dxa"/>
              <w:end w:w="80" w:type="dxa"/>
            </w:tcMar>
          </w:tcPr>
          <w:p>
            <w:pPr>
              <w:jc w:val="center"/>
            </w:pPr>
            <w:r>
              <w:rPr>
                <w:b/>
                <w:color w:val="1A477A"/>
                <w:sz w:val="18"/>
              </w:rPr>
              <w:t>Layer</w:t>
            </w:r>
          </w:p>
        </w:tc>
        <w:tc>
          <w:tcPr>
            <w:tcW w:type="dxa" w:w="3888"/>
            <w:vAlign w:val="center"/>
            <w:shd w:fill="B9CCE4"/>
            <w:tcMar>
              <w:top w:w="70" w:type="dxa"/>
              <w:start w:w="80" w:type="dxa"/>
              <w:bottom w:w="70" w:type="dxa"/>
              <w:end w:w="80" w:type="dxa"/>
            </w:tcMar>
          </w:tcPr>
          <w:p>
            <w:pPr>
              <w:jc w:val="center"/>
            </w:pPr>
            <w:r>
              <w:rPr>
                <w:b/>
                <w:color w:val="1A477A"/>
                <w:sz w:val="18"/>
              </w:rPr>
              <w:t>Expected complexity profile</w:t>
            </w:r>
          </w:p>
        </w:tc>
        <w:tc>
          <w:tcPr>
            <w:tcW w:type="dxa" w:w="4320"/>
            <w:vAlign w:val="center"/>
            <w:shd w:fill="B9CCE4"/>
            <w:tcMar>
              <w:top w:w="70" w:type="dxa"/>
              <w:start w:w="80" w:type="dxa"/>
              <w:bottom w:w="70" w:type="dxa"/>
              <w:end w:w="80" w:type="dxa"/>
            </w:tcMar>
          </w:tcPr>
          <w:p>
            <w:pPr>
              <w:jc w:val="center"/>
            </w:pPr>
            <w:r>
              <w:rPr>
                <w:b/>
                <w:color w:val="1A477A"/>
                <w:sz w:val="18"/>
              </w:rPr>
              <w:t>Engineering note</w:t>
            </w:r>
          </w:p>
        </w:tc>
      </w:tr>
      <w:tr>
        <w:trPr>
          <w:cantSplit/>
        </w:trPr>
        <w:tc>
          <w:tcPr>
            <w:tcW w:type="dxa" w:w="1944"/>
            <w:vAlign w:val="center"/>
            <w:tcMar>
              <w:top w:w="75" w:type="dxa"/>
              <w:start w:w="85" w:type="dxa"/>
              <w:bottom w:w="75" w:type="dxa"/>
              <w:end w:w="85" w:type="dxa"/>
            </w:tcMar>
            <w:shd w:fill="F6F9FC"/>
          </w:tcPr>
          <w:p>
            <w:pPr>
              <w:jc w:val="center"/>
            </w:pPr>
            <w:r>
              <w:rPr>
                <w:b/>
                <w:color w:val="1A477A"/>
                <w:sz w:val="18"/>
              </w:rPr>
              <w:t>Search</w:t>
            </w:r>
          </w:p>
        </w:tc>
        <w:tc>
          <w:tcPr>
            <w:tcW w:type="dxa" w:w="3888"/>
            <w:vAlign w:val="center"/>
            <w:tcMar>
              <w:top w:w="75" w:type="dxa"/>
              <w:start w:w="85" w:type="dxa"/>
              <w:bottom w:w="75" w:type="dxa"/>
              <w:end w:w="85" w:type="dxa"/>
            </w:tcMar>
          </w:tcPr>
          <w:p>
            <w:pPr>
              <w:jc w:val="left"/>
            </w:pPr>
            <w:r>
              <w:rPr>
                <w:sz w:val="18"/>
              </w:rPr>
              <w:t>Close to current v3/v3E costs</w:t>
            </w:r>
          </w:p>
        </w:tc>
        <w:tc>
          <w:tcPr>
            <w:tcW w:type="dxa" w:w="4320"/>
            <w:vAlign w:val="center"/>
            <w:tcMar>
              <w:top w:w="75" w:type="dxa"/>
              <w:start w:w="85" w:type="dxa"/>
              <w:bottom w:w="75" w:type="dxa"/>
              <w:end w:w="85" w:type="dxa"/>
            </w:tcMar>
          </w:tcPr>
          <w:p>
            <w:pPr>
              <w:jc w:val="left"/>
            </w:pPr>
            <w:r>
              <w:rPr>
                <w:sz w:val="18"/>
              </w:rPr>
              <w:t>Optimize with sparse APSP, sparse eigensolvers, batching, and ANN</w:t>
            </w:r>
          </w:p>
        </w:tc>
      </w:tr>
      <w:tr>
        <w:trPr>
          <w:cantSplit/>
        </w:trPr>
        <w:tc>
          <w:tcPr>
            <w:tcW w:type="dxa" w:w="1944"/>
            <w:vAlign w:val="center"/>
            <w:tcMar>
              <w:top w:w="75" w:type="dxa"/>
              <w:start w:w="85" w:type="dxa"/>
              <w:bottom w:w="75" w:type="dxa"/>
              <w:end w:w="85" w:type="dxa"/>
            </w:tcMar>
            <w:shd w:fill="F6F9FC"/>
          </w:tcPr>
          <w:p>
            <w:pPr>
              <w:jc w:val="center"/>
            </w:pPr>
            <w:r>
              <w:rPr>
                <w:b/>
                <w:color w:val="1A477A"/>
                <w:sz w:val="18"/>
              </w:rPr>
              <w:t>Refine</w:t>
            </w:r>
          </w:p>
        </w:tc>
        <w:tc>
          <w:tcPr>
            <w:tcW w:type="dxa" w:w="3888"/>
            <w:vAlign w:val="center"/>
            <w:tcMar>
              <w:top w:w="75" w:type="dxa"/>
              <w:start w:w="85" w:type="dxa"/>
              <w:bottom w:w="75" w:type="dxa"/>
              <w:end w:w="85" w:type="dxa"/>
            </w:tcMar>
          </w:tcPr>
          <w:p>
            <w:pPr>
              <w:jc w:val="left"/>
            </w:pPr>
            <w:r>
              <w:rPr>
                <w:sz w:val="18"/>
              </w:rPr>
              <w:t>Usually low to moderate relative to full canonization</w:t>
            </w:r>
          </w:p>
        </w:tc>
        <w:tc>
          <w:tcPr>
            <w:tcW w:type="dxa" w:w="4320"/>
            <w:vAlign w:val="center"/>
            <w:tcMar>
              <w:top w:w="75" w:type="dxa"/>
              <w:start w:w="85" w:type="dxa"/>
              <w:bottom w:w="75" w:type="dxa"/>
              <w:end w:w="85" w:type="dxa"/>
            </w:tcMar>
          </w:tcPr>
          <w:p>
            <w:pPr>
              <w:jc w:val="left"/>
            </w:pPr>
            <w:r>
              <w:rPr>
                <w:sz w:val="18"/>
              </w:rPr>
              <w:t>Should aggressively cut ambiguity before branching</w:t>
            </w:r>
          </w:p>
        </w:tc>
      </w:tr>
      <w:tr>
        <w:trPr>
          <w:cantSplit/>
        </w:trPr>
        <w:tc>
          <w:tcPr>
            <w:tcW w:type="dxa" w:w="1944"/>
            <w:vAlign w:val="center"/>
            <w:tcMar>
              <w:top w:w="75" w:type="dxa"/>
              <w:start w:w="85" w:type="dxa"/>
              <w:bottom w:w="75" w:type="dxa"/>
              <w:end w:w="85" w:type="dxa"/>
            </w:tcMar>
            <w:shd w:fill="F6F9FC"/>
          </w:tcPr>
          <w:p>
            <w:pPr>
              <w:jc w:val="center"/>
            </w:pPr>
            <w:r>
              <w:rPr>
                <w:b/>
                <w:color w:val="1A477A"/>
                <w:sz w:val="18"/>
              </w:rPr>
              <w:t>Canon</w:t>
            </w:r>
          </w:p>
        </w:tc>
        <w:tc>
          <w:tcPr>
            <w:tcW w:type="dxa" w:w="3888"/>
            <w:vAlign w:val="center"/>
            <w:tcMar>
              <w:top w:w="75" w:type="dxa"/>
              <w:start w:w="85" w:type="dxa"/>
              <w:bottom w:w="75" w:type="dxa"/>
              <w:end w:w="85" w:type="dxa"/>
            </w:tcMar>
          </w:tcPr>
          <w:p>
            <w:pPr>
              <w:jc w:val="left"/>
            </w:pPr>
            <w:r>
              <w:rPr>
                <w:sz w:val="18"/>
              </w:rPr>
              <w:t>Worst-case hard; practical performance graph-family dependent</w:t>
            </w:r>
          </w:p>
        </w:tc>
        <w:tc>
          <w:tcPr>
            <w:tcW w:type="dxa" w:w="4320"/>
            <w:vAlign w:val="center"/>
            <w:tcMar>
              <w:top w:w="75" w:type="dxa"/>
              <w:start w:w="85" w:type="dxa"/>
              <w:bottom w:w="75" w:type="dxa"/>
              <w:end w:w="85" w:type="dxa"/>
            </w:tcMar>
          </w:tcPr>
          <w:p>
            <w:pPr>
              <w:jc w:val="left"/>
            </w:pPr>
            <w:r>
              <w:rPr>
                <w:sz w:val="18"/>
              </w:rPr>
              <w:t>Use pruning, caching, orbit detection, and replayable branch ordering</w:t>
            </w:r>
          </w:p>
        </w:tc>
      </w:tr>
      <w:tr>
        <w:trPr>
          <w:cantSplit/>
        </w:trPr>
        <w:tc>
          <w:tcPr>
            <w:tcW w:type="dxa" w:w="1944"/>
            <w:vAlign w:val="center"/>
            <w:tcMar>
              <w:top w:w="75" w:type="dxa"/>
              <w:start w:w="85" w:type="dxa"/>
              <w:bottom w:w="75" w:type="dxa"/>
              <w:end w:w="85" w:type="dxa"/>
            </w:tcMar>
            <w:shd w:fill="F6F9FC"/>
          </w:tcPr>
          <w:p>
            <w:pPr>
              <w:jc w:val="center"/>
            </w:pPr>
            <w:r>
              <w:rPr>
                <w:b/>
                <w:color w:val="1A477A"/>
                <w:sz w:val="18"/>
              </w:rPr>
              <w:t>Cert</w:t>
            </w:r>
          </w:p>
        </w:tc>
        <w:tc>
          <w:tcPr>
            <w:tcW w:type="dxa" w:w="3888"/>
            <w:vAlign w:val="center"/>
            <w:tcMar>
              <w:top w:w="75" w:type="dxa"/>
              <w:start w:w="85" w:type="dxa"/>
              <w:bottom w:w="75" w:type="dxa"/>
              <w:end w:w="85" w:type="dxa"/>
            </w:tcMar>
          </w:tcPr>
          <w:p>
            <w:pPr>
              <w:jc w:val="left"/>
            </w:pPr>
            <w:r>
              <w:rPr>
                <w:sz w:val="18"/>
              </w:rPr>
              <w:t>Linear in emitted trace size plus serialization cost</w:t>
            </w:r>
          </w:p>
        </w:tc>
        <w:tc>
          <w:tcPr>
            <w:tcW w:type="dxa" w:w="4320"/>
            <w:vAlign w:val="center"/>
            <w:tcMar>
              <w:top w:w="75" w:type="dxa"/>
              <w:start w:w="85" w:type="dxa"/>
              <w:bottom w:w="75" w:type="dxa"/>
              <w:end w:w="85" w:type="dxa"/>
            </w:tcMar>
          </w:tcPr>
          <w:p>
            <w:pPr>
              <w:jc w:val="left"/>
            </w:pPr>
            <w:r>
              <w:rPr>
                <w:sz w:val="18"/>
              </w:rPr>
              <w:t>Provide compact and full modes</w:t>
            </w:r>
          </w:p>
        </w:tc>
      </w:tr>
      <w:tr>
        <w:trPr>
          <w:cantSplit/>
        </w:trPr>
        <w:tc>
          <w:tcPr>
            <w:tcW w:type="dxa" w:w="1944"/>
            <w:vAlign w:val="center"/>
            <w:tcMar>
              <w:top w:w="75" w:type="dxa"/>
              <w:start w:w="85" w:type="dxa"/>
              <w:bottom w:w="75" w:type="dxa"/>
              <w:end w:w="85" w:type="dxa"/>
            </w:tcMar>
            <w:shd w:fill="F6F9FC"/>
          </w:tcPr>
          <w:p>
            <w:pPr>
              <w:jc w:val="center"/>
            </w:pPr>
            <w:r>
              <w:rPr>
                <w:b/>
                <w:color w:val="1A477A"/>
                <w:sz w:val="18"/>
              </w:rPr>
              <w:t>ID</w:t>
            </w:r>
          </w:p>
        </w:tc>
        <w:tc>
          <w:tcPr>
            <w:tcW w:type="dxa" w:w="3888"/>
            <w:vAlign w:val="center"/>
            <w:tcMar>
              <w:top w:w="75" w:type="dxa"/>
              <w:start w:w="85" w:type="dxa"/>
              <w:bottom w:w="75" w:type="dxa"/>
              <w:end w:w="85" w:type="dxa"/>
            </w:tcMar>
          </w:tcPr>
          <w:p>
            <w:pPr>
              <w:jc w:val="left"/>
            </w:pPr>
            <w:r>
              <w:rPr>
                <w:sz w:val="18"/>
              </w:rPr>
              <w:t>Linear in canonical serialization bytes</w:t>
            </w:r>
          </w:p>
        </w:tc>
        <w:tc>
          <w:tcPr>
            <w:tcW w:type="dxa" w:w="4320"/>
            <w:vAlign w:val="center"/>
            <w:tcMar>
              <w:top w:w="75" w:type="dxa"/>
              <w:start w:w="85" w:type="dxa"/>
              <w:bottom w:w="75" w:type="dxa"/>
              <w:end w:w="85" w:type="dxa"/>
            </w:tcMar>
          </w:tcPr>
          <w:p>
            <w:pPr>
              <w:jc w:val="left"/>
            </w:pPr>
            <w:r>
              <w:rPr>
                <w:sz w:val="18"/>
              </w:rPr>
              <w:t>Negligible compared with canonization</w:t>
            </w:r>
          </w:p>
        </w:tc>
      </w:tr>
    </w:tbl>
    <w:p/>
    <w:p>
      <w:pPr>
        <w:ind w:left="288" w:hanging="259"/>
      </w:pPr>
      <w:r>
        <w:rPr>
          <w:rFonts w:ascii="Aptos" w:hAnsi="Aptos"/>
          <w:sz w:val="21"/>
        </w:rPr>
        <w:t>• Cache canonical results for repeated graphs and frequently requested corpora.</w:t>
      </w:r>
    </w:p>
    <w:p>
      <w:pPr>
        <w:ind w:left="288" w:hanging="259"/>
      </w:pPr>
      <w:r>
        <w:rPr>
          <w:rFonts w:ascii="Aptos" w:hAnsi="Aptos"/>
          <w:sz w:val="21"/>
        </w:rPr>
        <w:t>• Cache refinement states when multiple exact comparisons are made against the same graph.</w:t>
      </w:r>
    </w:p>
    <w:p>
      <w:pPr>
        <w:ind w:left="288" w:hanging="259"/>
      </w:pPr>
      <w:r>
        <w:rPr>
          <w:rFonts w:ascii="Aptos" w:hAnsi="Aptos"/>
          <w:sz w:val="21"/>
        </w:rPr>
        <w:t>• Persist compact proof bundles separately from full traces to control storage cost.</w:t>
      </w:r>
    </w:p>
    <w:p>
      <w:pPr>
        <w:ind w:left="288" w:hanging="259"/>
      </w:pPr>
      <w:r>
        <w:rPr>
          <w:rFonts w:ascii="Aptos" w:hAnsi="Aptos"/>
          <w:sz w:val="21"/>
        </w:rPr>
        <w:t>• Benchmark on both natural datasets and adversarial graph families known to stress canonization systems.</w:t>
      </w:r>
    </w:p>
    <w:p>
      <w:pPr>
        <w:pStyle w:val="Heading1"/>
        <w:keepNext/>
      </w:pPr>
      <w:r>
        <w:t>16. Verification, Testing, and Benchmarking</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592"/>
            <w:vAlign w:val="center"/>
            <w:shd w:fill="B9CCE4"/>
            <w:tcMar>
              <w:top w:w="70" w:type="dxa"/>
              <w:start w:w="80" w:type="dxa"/>
              <w:bottom w:w="70" w:type="dxa"/>
              <w:end w:w="80" w:type="dxa"/>
            </w:tcMar>
          </w:tcPr>
          <w:p>
            <w:pPr>
              <w:jc w:val="center"/>
            </w:pPr>
            <w:r>
              <w:rPr>
                <w:b/>
                <w:color w:val="1A477A"/>
                <w:sz w:val="18"/>
              </w:rPr>
              <w:t>Test class</w:t>
            </w:r>
          </w:p>
        </w:tc>
        <w:tc>
          <w:tcPr>
            <w:tcW w:type="dxa" w:w="7056"/>
            <w:vAlign w:val="center"/>
            <w:shd w:fill="B9CCE4"/>
            <w:tcMar>
              <w:top w:w="70" w:type="dxa"/>
              <w:start w:w="80" w:type="dxa"/>
              <w:bottom w:w="70" w:type="dxa"/>
              <w:end w:w="80" w:type="dxa"/>
            </w:tcMar>
          </w:tcPr>
          <w:p>
            <w:pPr>
              <w:jc w:val="center"/>
            </w:pPr>
            <w:r>
              <w:rPr>
                <w:b/>
                <w:color w:val="1A477A"/>
                <w:sz w:val="18"/>
              </w:rPr>
              <w:t>Target</w:t>
            </w:r>
          </w:p>
        </w:tc>
      </w:tr>
      <w:tr>
        <w:trPr>
          <w:cantSplit/>
        </w:trPr>
        <w:tc>
          <w:tcPr>
            <w:tcW w:type="dxa" w:w="2592"/>
            <w:vAlign w:val="center"/>
            <w:tcMar>
              <w:top w:w="75" w:type="dxa"/>
              <w:start w:w="85" w:type="dxa"/>
              <w:bottom w:w="75" w:type="dxa"/>
              <w:end w:w="85" w:type="dxa"/>
            </w:tcMar>
            <w:shd w:fill="F6F9FC"/>
          </w:tcPr>
          <w:p>
            <w:pPr>
              <w:jc w:val="center"/>
            </w:pPr>
            <w:r>
              <w:rPr>
                <w:b/>
                <w:color w:val="1A477A"/>
                <w:sz w:val="18"/>
              </w:rPr>
              <w:t>Determinism tests</w:t>
            </w:r>
          </w:p>
        </w:tc>
        <w:tc>
          <w:tcPr>
            <w:tcW w:type="dxa" w:w="7056"/>
            <w:vAlign w:val="center"/>
            <w:tcMar>
              <w:top w:w="75" w:type="dxa"/>
              <w:start w:w="85" w:type="dxa"/>
              <w:bottom w:w="75" w:type="dxa"/>
              <w:end w:w="85" w:type="dxa"/>
            </w:tcMar>
          </w:tcPr>
          <w:p>
            <w:pPr>
              <w:jc w:val="left"/>
            </w:pPr>
            <w:r>
              <w:rPr>
                <w:sz w:val="18"/>
              </w:rPr>
              <w:t>Same graph, same canonical serialization, same digest, same proof summary across runs</w:t>
            </w:r>
          </w:p>
        </w:tc>
      </w:tr>
      <w:tr>
        <w:trPr>
          <w:cantSplit/>
        </w:trPr>
        <w:tc>
          <w:tcPr>
            <w:tcW w:type="dxa" w:w="2592"/>
            <w:vAlign w:val="center"/>
            <w:tcMar>
              <w:top w:w="75" w:type="dxa"/>
              <w:start w:w="85" w:type="dxa"/>
              <w:bottom w:w="75" w:type="dxa"/>
              <w:end w:w="85" w:type="dxa"/>
            </w:tcMar>
            <w:shd w:fill="F6F9FC"/>
          </w:tcPr>
          <w:p>
            <w:pPr>
              <w:jc w:val="center"/>
            </w:pPr>
            <w:r>
              <w:rPr>
                <w:b/>
                <w:color w:val="1A477A"/>
                <w:sz w:val="18"/>
              </w:rPr>
              <w:t>Permutation tests</w:t>
            </w:r>
          </w:p>
        </w:tc>
        <w:tc>
          <w:tcPr>
            <w:tcW w:type="dxa" w:w="7056"/>
            <w:vAlign w:val="center"/>
            <w:tcMar>
              <w:top w:w="75" w:type="dxa"/>
              <w:start w:w="85" w:type="dxa"/>
              <w:bottom w:w="75" w:type="dxa"/>
              <w:end w:w="85" w:type="dxa"/>
            </w:tcMar>
          </w:tcPr>
          <w:p>
            <w:pPr>
              <w:jc w:val="left"/>
            </w:pPr>
            <w:r>
              <w:rPr>
                <w:sz w:val="18"/>
              </w:rPr>
              <w:t>Random node relabelings produce identical canonical serialization</w:t>
            </w:r>
          </w:p>
        </w:tc>
      </w:tr>
      <w:tr>
        <w:trPr>
          <w:cantSplit/>
        </w:trPr>
        <w:tc>
          <w:tcPr>
            <w:tcW w:type="dxa" w:w="2592"/>
            <w:vAlign w:val="center"/>
            <w:tcMar>
              <w:top w:w="75" w:type="dxa"/>
              <w:start w:w="85" w:type="dxa"/>
              <w:bottom w:w="75" w:type="dxa"/>
              <w:end w:w="85" w:type="dxa"/>
            </w:tcMar>
            <w:shd w:fill="F6F9FC"/>
          </w:tcPr>
          <w:p>
            <w:pPr>
              <w:jc w:val="center"/>
            </w:pPr>
            <w:r>
              <w:rPr>
                <w:b/>
                <w:color w:val="1A477A"/>
                <w:sz w:val="18"/>
              </w:rPr>
              <w:t>Negative tests</w:t>
            </w:r>
          </w:p>
        </w:tc>
        <w:tc>
          <w:tcPr>
            <w:tcW w:type="dxa" w:w="7056"/>
            <w:vAlign w:val="center"/>
            <w:tcMar>
              <w:top w:w="75" w:type="dxa"/>
              <w:start w:w="85" w:type="dxa"/>
              <w:bottom w:w="75" w:type="dxa"/>
              <w:end w:w="85" w:type="dxa"/>
            </w:tcMar>
          </w:tcPr>
          <w:p>
            <w:pPr>
              <w:jc w:val="left"/>
            </w:pPr>
            <w:r>
              <w:rPr>
                <w:sz w:val="18"/>
              </w:rPr>
              <w:t>Non-isomorphic graphs produce different canonical serializations</w:t>
            </w:r>
          </w:p>
        </w:tc>
      </w:tr>
      <w:tr>
        <w:trPr>
          <w:cantSplit/>
        </w:trPr>
        <w:tc>
          <w:tcPr>
            <w:tcW w:type="dxa" w:w="2592"/>
            <w:vAlign w:val="center"/>
            <w:tcMar>
              <w:top w:w="75" w:type="dxa"/>
              <w:start w:w="85" w:type="dxa"/>
              <w:bottom w:w="75" w:type="dxa"/>
              <w:end w:w="85" w:type="dxa"/>
            </w:tcMar>
            <w:shd w:fill="F6F9FC"/>
          </w:tcPr>
          <w:p>
            <w:pPr>
              <w:jc w:val="center"/>
            </w:pPr>
            <w:r>
              <w:rPr>
                <w:b/>
                <w:color w:val="1A477A"/>
                <w:sz w:val="18"/>
              </w:rPr>
              <w:t>Approximate-vs-exact tests</w:t>
            </w:r>
          </w:p>
        </w:tc>
        <w:tc>
          <w:tcPr>
            <w:tcW w:type="dxa" w:w="7056"/>
            <w:vAlign w:val="center"/>
            <w:tcMar>
              <w:top w:w="75" w:type="dxa"/>
              <w:start w:w="85" w:type="dxa"/>
              <w:bottom w:w="75" w:type="dxa"/>
              <w:end w:w="85" w:type="dxa"/>
            </w:tcMar>
          </w:tcPr>
          <w:p>
            <w:pPr>
              <w:jc w:val="left"/>
            </w:pPr>
            <w:r>
              <w:rPr>
                <w:sz w:val="18"/>
              </w:rPr>
              <w:t>Search layer may collide or near-match; exact layer must still separate non-isomorphic graphs</w:t>
            </w:r>
          </w:p>
        </w:tc>
      </w:tr>
      <w:tr>
        <w:trPr>
          <w:cantSplit/>
        </w:trPr>
        <w:tc>
          <w:tcPr>
            <w:tcW w:type="dxa" w:w="2592"/>
            <w:vAlign w:val="center"/>
            <w:tcMar>
              <w:top w:w="75" w:type="dxa"/>
              <w:start w:w="85" w:type="dxa"/>
              <w:bottom w:w="75" w:type="dxa"/>
              <w:end w:w="85" w:type="dxa"/>
            </w:tcMar>
            <w:shd w:fill="F6F9FC"/>
          </w:tcPr>
          <w:p>
            <w:pPr>
              <w:jc w:val="center"/>
            </w:pPr>
            <w:r>
              <w:rPr>
                <w:b/>
                <w:color w:val="1A477A"/>
                <w:sz w:val="18"/>
              </w:rPr>
              <w:t>Replay tests</w:t>
            </w:r>
          </w:p>
        </w:tc>
        <w:tc>
          <w:tcPr>
            <w:tcW w:type="dxa" w:w="7056"/>
            <w:vAlign w:val="center"/>
            <w:tcMar>
              <w:top w:w="75" w:type="dxa"/>
              <w:start w:w="85" w:type="dxa"/>
              <w:bottom w:w="75" w:type="dxa"/>
              <w:end w:w="85" w:type="dxa"/>
            </w:tcMar>
          </w:tcPr>
          <w:p>
            <w:pPr>
              <w:jc w:val="left"/>
            </w:pPr>
            <w:r>
              <w:rPr>
                <w:sz w:val="18"/>
              </w:rPr>
              <w:t>Proof bundles replay to the same canonical result</w:t>
            </w:r>
          </w:p>
        </w:tc>
      </w:tr>
      <w:tr>
        <w:trPr>
          <w:cantSplit/>
        </w:trPr>
        <w:tc>
          <w:tcPr>
            <w:tcW w:type="dxa" w:w="2592"/>
            <w:vAlign w:val="center"/>
            <w:tcMar>
              <w:top w:w="75" w:type="dxa"/>
              <w:start w:w="85" w:type="dxa"/>
              <w:bottom w:w="75" w:type="dxa"/>
              <w:end w:w="85" w:type="dxa"/>
            </w:tcMar>
            <w:shd w:fill="F6F9FC"/>
          </w:tcPr>
          <w:p>
            <w:pPr>
              <w:jc w:val="center"/>
            </w:pPr>
            <w:r>
              <w:rPr>
                <w:b/>
                <w:color w:val="1A477A"/>
                <w:sz w:val="18"/>
              </w:rPr>
              <w:t>Cross-engine checks</w:t>
            </w:r>
          </w:p>
        </w:tc>
        <w:tc>
          <w:tcPr>
            <w:tcW w:type="dxa" w:w="7056"/>
            <w:vAlign w:val="center"/>
            <w:tcMar>
              <w:top w:w="75" w:type="dxa"/>
              <w:start w:w="85" w:type="dxa"/>
              <w:bottom w:w="75" w:type="dxa"/>
              <w:end w:w="85" w:type="dxa"/>
            </w:tcMar>
          </w:tcPr>
          <w:p>
            <w:pPr>
              <w:jc w:val="left"/>
            </w:pPr>
            <w:r>
              <w:rPr>
                <w:sz w:val="18"/>
              </w:rPr>
              <w:t>Optional agreement against a trusted external canonizer on supported graph classes</w:t>
            </w:r>
          </w:p>
        </w:tc>
      </w:tr>
    </w:tbl>
    <w:p/>
    <w:p>
      <w:pPr/>
      <w:r>
        <w:t>Benchmark suites should include the current TopHash datasets for continuity, plus challenging graph-isomorphism benchmark families, small exhaustive graph sets, random regular graphs, strongly regular graphs, and adversarial constructions used in graph-isomorphism evaluation.</w:t>
      </w:r>
    </w:p>
    <w:p>
      <w:pPr>
        <w:pStyle w:val="Heading1"/>
        <w:keepNext/>
      </w:pPr>
      <w:r>
        <w:t>17. Recommended Repository Architecture</w:t>
      </w:r>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Proposed repository layout</w:t>
            </w:r>
          </w:p>
        </w:tc>
      </w:tr>
      <w:tr>
        <w:tc>
          <w:tcPr>
            <w:tcW w:type="dxa" w:w="9648"/>
            <w:shd w:fill="F7FAFD"/>
            <w:tcMar>
              <w:top w:w="100" w:type="dxa"/>
              <w:start w:w="120" w:type="dxa"/>
              <w:bottom w:w="100" w:type="dxa"/>
              <w:end w:w="120" w:type="dxa"/>
            </w:tcMar>
          </w:tcPr>
          <w:p>
            <w:pPr>
              <w:pStyle w:val="CodeBlock"/>
              <w:ind w:left="72" w:right="72"/>
            </w:pPr>
            <w:r>
              <w:t>tophashx/</w:t>
              <w:br/>
              <w:t>├── README.md</w:t>
              <w:br/>
              <w:t>├── pyproject.toml</w:t>
              <w:br/>
              <w:t>├── docs/</w:t>
              <w:br/>
              <w:t>├── src/tophashx/</w:t>
              <w:br/>
              <w:t>│   ├── adapters/</w:t>
              <w:br/>
              <w:t>│   ├── search/</w:t>
              <w:br/>
              <w:t>│   ├── refine/</w:t>
              <w:br/>
              <w:t>│   ├── canon/</w:t>
              <w:br/>
              <w:t>│   ├── cert/</w:t>
              <w:br/>
              <w:t>│   ├── id/</w:t>
              <w:br/>
              <w:t>│   ├── schemas/</w:t>
              <w:br/>
              <w:t>│   ├── api/</w:t>
              <w:br/>
              <w:t>│   ├── cli/</w:t>
              <w:br/>
              <w:t>│   └── benchmarks/</w:t>
              <w:br/>
              <w:t>├── tests/</w:t>
              <w:br/>
              <w:t>├── notebooks/</w:t>
              <w:br/>
              <w:t>└── data/</w:t>
            </w:r>
          </w:p>
        </w:tc>
      </w:tr>
    </w:tbl>
    <w:p/>
    <w:tbl>
      <w:tblPr>
        <w:tblW w:type="auto" w:w="0"/>
        <w:jc w:val="center"/>
        <w:tblLayout w:type="fixed"/>
        <w:tblLook w:firstColumn="1" w:firstRow="1" w:lastColumn="0" w:lastRow="0" w:noHBand="0" w:noVBand="1" w:val="04A0"/>
      </w:tblPr>
      <w:tblGrid>
        <w:gridCol w:w="4824"/>
        <w:gridCol w:w="4824"/>
      </w:tblGrid>
      <w:tr>
        <w:trPr>
          <w:tblHeader w:val="true"/>
        </w:trPr>
        <w:tc>
          <w:tcPr>
            <w:tcW w:type="dxa" w:w="2376"/>
            <w:vAlign w:val="center"/>
            <w:shd w:fill="B9CCE4"/>
            <w:tcMar>
              <w:top w:w="70" w:type="dxa"/>
              <w:start w:w="80" w:type="dxa"/>
              <w:bottom w:w="70" w:type="dxa"/>
              <w:end w:w="80" w:type="dxa"/>
            </w:tcMar>
          </w:tcPr>
          <w:p>
            <w:pPr>
              <w:jc w:val="center"/>
            </w:pPr>
            <w:r>
              <w:rPr>
                <w:b/>
                <w:color w:val="1A477A"/>
                <w:sz w:val="18"/>
              </w:rPr>
              <w:t>Module</w:t>
            </w:r>
          </w:p>
        </w:tc>
        <w:tc>
          <w:tcPr>
            <w:tcW w:type="dxa" w:w="7272"/>
            <w:vAlign w:val="center"/>
            <w:shd w:fill="B9CCE4"/>
            <w:tcMar>
              <w:top w:w="70" w:type="dxa"/>
              <w:start w:w="80" w:type="dxa"/>
              <w:bottom w:w="70" w:type="dxa"/>
              <w:end w:w="80" w:type="dxa"/>
            </w:tcMar>
          </w:tcPr>
          <w:p>
            <w:pPr>
              <w:jc w:val="center"/>
            </w:pPr>
            <w:r>
              <w:rPr>
                <w:b/>
                <w:color w:val="1A477A"/>
                <w:sz w:val="18"/>
              </w:rPr>
              <w:t>Responsibility</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adapters</w:t>
            </w:r>
          </w:p>
        </w:tc>
        <w:tc>
          <w:tcPr>
            <w:tcW w:type="dxa" w:w="7272"/>
            <w:vAlign w:val="center"/>
            <w:tcMar>
              <w:top w:w="75" w:type="dxa"/>
              <w:start w:w="85" w:type="dxa"/>
              <w:bottom w:w="75" w:type="dxa"/>
              <w:end w:w="85" w:type="dxa"/>
            </w:tcMar>
          </w:tcPr>
          <w:p>
            <w:pPr>
              <w:jc w:val="left"/>
            </w:pPr>
            <w:r>
              <w:rPr>
                <w:sz w:val="18"/>
              </w:rPr>
              <w:t>Graph normalization and graph model conversion</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search</w:t>
            </w:r>
          </w:p>
        </w:tc>
        <w:tc>
          <w:tcPr>
            <w:tcW w:type="dxa" w:w="7272"/>
            <w:vAlign w:val="center"/>
            <w:tcMar>
              <w:top w:w="75" w:type="dxa"/>
              <w:start w:w="85" w:type="dxa"/>
              <w:bottom w:w="75" w:type="dxa"/>
              <w:end w:w="85" w:type="dxa"/>
            </w:tcMar>
          </w:tcPr>
          <w:p>
            <w:pPr>
              <w:jc w:val="left"/>
            </w:pPr>
            <w:r>
              <w:rPr>
                <w:sz w:val="18"/>
              </w:rPr>
              <w:t>Approximate descriptor computation and vector utilities</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refine</w:t>
            </w:r>
          </w:p>
        </w:tc>
        <w:tc>
          <w:tcPr>
            <w:tcW w:type="dxa" w:w="7272"/>
            <w:vAlign w:val="center"/>
            <w:tcMar>
              <w:top w:w="75" w:type="dxa"/>
              <w:start w:w="85" w:type="dxa"/>
              <w:bottom w:w="75" w:type="dxa"/>
              <w:end w:w="85" w:type="dxa"/>
            </w:tcMar>
          </w:tcPr>
          <w:p>
            <w:pPr>
              <w:jc w:val="left"/>
            </w:pPr>
            <w:r>
              <w:rPr>
                <w:sz w:val="18"/>
              </w:rPr>
              <w:t>Initial colouring, equitable refinement, quotient graph logic, ambiguity scoring</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canon</w:t>
            </w:r>
          </w:p>
        </w:tc>
        <w:tc>
          <w:tcPr>
            <w:tcW w:type="dxa" w:w="7272"/>
            <w:vAlign w:val="center"/>
            <w:tcMar>
              <w:top w:w="75" w:type="dxa"/>
              <w:start w:w="85" w:type="dxa"/>
              <w:bottom w:w="75" w:type="dxa"/>
              <w:end w:w="85" w:type="dxa"/>
            </w:tcMar>
          </w:tcPr>
          <w:p>
            <w:pPr>
              <w:jc w:val="left"/>
            </w:pPr>
            <w:r>
              <w:rPr>
                <w:sz w:val="18"/>
              </w:rPr>
              <w:t>Individualization-refinement search, automorphism pruning, canonical serialization</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cert</w:t>
            </w:r>
          </w:p>
        </w:tc>
        <w:tc>
          <w:tcPr>
            <w:tcW w:type="dxa" w:w="7272"/>
            <w:vAlign w:val="center"/>
            <w:tcMar>
              <w:top w:w="75" w:type="dxa"/>
              <w:start w:w="85" w:type="dxa"/>
              <w:bottom w:w="75" w:type="dxa"/>
              <w:end w:w="85" w:type="dxa"/>
            </w:tcMar>
          </w:tcPr>
          <w:p>
            <w:pPr>
              <w:jc w:val="left"/>
            </w:pPr>
            <w:r>
              <w:rPr>
                <w:sz w:val="18"/>
              </w:rPr>
              <w:t>Certificate builders, replay tools, audit emitters</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id</w:t>
            </w:r>
          </w:p>
        </w:tc>
        <w:tc>
          <w:tcPr>
            <w:tcW w:type="dxa" w:w="7272"/>
            <w:vAlign w:val="center"/>
            <w:tcMar>
              <w:top w:w="75" w:type="dxa"/>
              <w:start w:w="85" w:type="dxa"/>
              <w:bottom w:w="75" w:type="dxa"/>
              <w:end w:w="85" w:type="dxa"/>
            </w:tcMar>
          </w:tcPr>
          <w:p>
            <w:pPr>
              <w:jc w:val="left"/>
            </w:pPr>
            <w:r>
              <w:rPr>
                <w:sz w:val="18"/>
              </w:rPr>
              <w:t>Hashing, structural ID formatting, identity versioning</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schemas</w:t>
            </w:r>
          </w:p>
        </w:tc>
        <w:tc>
          <w:tcPr>
            <w:tcW w:type="dxa" w:w="7272"/>
            <w:vAlign w:val="center"/>
            <w:tcMar>
              <w:top w:w="75" w:type="dxa"/>
              <w:start w:w="85" w:type="dxa"/>
              <w:bottom w:w="75" w:type="dxa"/>
              <w:end w:w="85" w:type="dxa"/>
            </w:tcMar>
          </w:tcPr>
          <w:p>
            <w:pPr>
              <w:jc w:val="left"/>
            </w:pPr>
            <w:r>
              <w:rPr>
                <w:sz w:val="18"/>
              </w:rPr>
              <w:t>Pydantic or equivalent data models for stable APIs</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api / cli</w:t>
            </w:r>
          </w:p>
        </w:tc>
        <w:tc>
          <w:tcPr>
            <w:tcW w:type="dxa" w:w="7272"/>
            <w:vAlign w:val="center"/>
            <w:tcMar>
              <w:top w:w="75" w:type="dxa"/>
              <w:start w:w="85" w:type="dxa"/>
              <w:bottom w:w="75" w:type="dxa"/>
              <w:end w:w="85" w:type="dxa"/>
            </w:tcMar>
          </w:tcPr>
          <w:p>
            <w:pPr>
              <w:jc w:val="left"/>
            </w:pPr>
            <w:r>
              <w:rPr>
                <w:sz w:val="18"/>
              </w:rPr>
              <w:t>HTTP service and local command-line interfaces</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benchmarks</w:t>
            </w:r>
          </w:p>
        </w:tc>
        <w:tc>
          <w:tcPr>
            <w:tcW w:type="dxa" w:w="7272"/>
            <w:vAlign w:val="center"/>
            <w:tcMar>
              <w:top w:w="75" w:type="dxa"/>
              <w:start w:w="85" w:type="dxa"/>
              <w:bottom w:w="75" w:type="dxa"/>
              <w:end w:w="85" w:type="dxa"/>
            </w:tcMar>
          </w:tcPr>
          <w:p>
            <w:pPr>
              <w:jc w:val="left"/>
            </w:pPr>
            <w:r>
              <w:rPr>
                <w:sz w:val="18"/>
              </w:rPr>
              <w:t>Dataset runners, graph-family suites, performance harnesses</w:t>
            </w:r>
          </w:p>
        </w:tc>
      </w:tr>
    </w:tbl>
    <w:p/>
    <w:p>
      <w:pPr>
        <w:pStyle w:val="Heading1"/>
        <w:keepNext/>
      </w:pPr>
      <w:r>
        <w:t>18. Roadmap</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376"/>
            <w:vAlign w:val="center"/>
            <w:shd w:fill="B9CCE4"/>
            <w:tcMar>
              <w:top w:w="70" w:type="dxa"/>
              <w:start w:w="80" w:type="dxa"/>
              <w:bottom w:w="70" w:type="dxa"/>
              <w:end w:w="80" w:type="dxa"/>
            </w:tcMar>
          </w:tcPr>
          <w:p>
            <w:pPr>
              <w:jc w:val="center"/>
            </w:pPr>
            <w:r>
              <w:rPr>
                <w:b/>
                <w:color w:val="1A477A"/>
                <w:sz w:val="18"/>
              </w:rPr>
              <w:t>Phase</w:t>
            </w:r>
          </w:p>
        </w:tc>
        <w:tc>
          <w:tcPr>
            <w:tcW w:type="dxa" w:w="7272"/>
            <w:vAlign w:val="center"/>
            <w:shd w:fill="B9CCE4"/>
            <w:tcMar>
              <w:top w:w="70" w:type="dxa"/>
              <w:start w:w="80" w:type="dxa"/>
              <w:bottom w:w="70" w:type="dxa"/>
              <w:end w:w="80" w:type="dxa"/>
            </w:tcMar>
          </w:tcPr>
          <w:p>
            <w:pPr>
              <w:jc w:val="center"/>
            </w:pPr>
            <w:r>
              <w:rPr>
                <w:b/>
                <w:color w:val="1A477A"/>
                <w:sz w:val="18"/>
              </w:rPr>
              <w:t>Primary deliverables</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Phase 1 — Exact core</w:t>
            </w:r>
          </w:p>
        </w:tc>
        <w:tc>
          <w:tcPr>
            <w:tcW w:type="dxa" w:w="7272"/>
            <w:vAlign w:val="center"/>
            <w:tcMar>
              <w:top w:w="75" w:type="dxa"/>
              <w:start w:w="85" w:type="dxa"/>
              <w:bottom w:w="75" w:type="dxa"/>
              <w:end w:w="85" w:type="dxa"/>
            </w:tcMar>
          </w:tcPr>
          <w:p>
            <w:pPr>
              <w:jc w:val="left"/>
            </w:pPr>
            <w:r>
              <w:rPr>
                <w:sz w:val="18"/>
              </w:rPr>
              <w:t>Implement graph normalization, exact-safe refinement, canonical serialization, digest layer, determinism tests</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Phase 2 — Certificate layer</w:t>
            </w:r>
          </w:p>
        </w:tc>
        <w:tc>
          <w:tcPr>
            <w:tcW w:type="dxa" w:w="7272"/>
            <w:vAlign w:val="center"/>
            <w:tcMar>
              <w:top w:w="75" w:type="dxa"/>
              <w:start w:w="85" w:type="dxa"/>
              <w:bottom w:w="75" w:type="dxa"/>
              <w:end w:w="85" w:type="dxa"/>
            </w:tcMar>
          </w:tcPr>
          <w:p>
            <w:pPr>
              <w:jc w:val="left"/>
            </w:pPr>
            <w:r>
              <w:rPr>
                <w:sz w:val="18"/>
              </w:rPr>
              <w:t>Emit proof bundles, replay tooling, compact external certificate mode, audit logging</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Phase 3 — Performance</w:t>
            </w:r>
          </w:p>
        </w:tc>
        <w:tc>
          <w:tcPr>
            <w:tcW w:type="dxa" w:w="7272"/>
            <w:vAlign w:val="center"/>
            <w:tcMar>
              <w:top w:w="75" w:type="dxa"/>
              <w:start w:w="85" w:type="dxa"/>
              <w:bottom w:w="75" w:type="dxa"/>
              <w:end w:w="85" w:type="dxa"/>
            </w:tcMar>
          </w:tcPr>
          <w:p>
            <w:pPr>
              <w:jc w:val="left"/>
            </w:pPr>
            <w:r>
              <w:rPr>
                <w:sz w:val="18"/>
              </w:rPr>
              <w:t>Caching, sparse execution, improved branch ordering, benchmark suite, service hardening</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Phase 4 — Productization</w:t>
            </w:r>
          </w:p>
        </w:tc>
        <w:tc>
          <w:tcPr>
            <w:tcW w:type="dxa" w:w="7272"/>
            <w:vAlign w:val="center"/>
            <w:tcMar>
              <w:top w:w="75" w:type="dxa"/>
              <w:start w:w="85" w:type="dxa"/>
              <w:bottom w:w="75" w:type="dxa"/>
              <w:end w:w="85" w:type="dxa"/>
            </w:tcMar>
          </w:tcPr>
          <w:p>
            <w:pPr>
              <w:jc w:val="left"/>
            </w:pPr>
            <w:r>
              <w:rPr>
                <w:sz w:val="18"/>
              </w:rPr>
              <w:t>ANN search integration, UX explanation layer, corpus indexing, enterprise APIs</w:t>
            </w:r>
          </w:p>
        </w:tc>
      </w:tr>
      <w:tr>
        <w:trPr>
          <w:cantSplit/>
        </w:trPr>
        <w:tc>
          <w:tcPr>
            <w:tcW w:type="dxa" w:w="2376"/>
            <w:vAlign w:val="center"/>
            <w:tcMar>
              <w:top w:w="75" w:type="dxa"/>
              <w:start w:w="85" w:type="dxa"/>
              <w:bottom w:w="75" w:type="dxa"/>
              <w:end w:w="85" w:type="dxa"/>
            </w:tcMar>
            <w:shd w:fill="F6F9FC"/>
          </w:tcPr>
          <w:p>
            <w:pPr>
              <w:jc w:val="center"/>
            </w:pPr>
            <w:r>
              <w:rPr>
                <w:b/>
                <w:color w:val="1A477A"/>
                <w:sz w:val="18"/>
              </w:rPr>
              <w:t>Phase 5 — Extended graph models</w:t>
            </w:r>
          </w:p>
        </w:tc>
        <w:tc>
          <w:tcPr>
            <w:tcW w:type="dxa" w:w="7272"/>
            <w:vAlign w:val="center"/>
            <w:tcMar>
              <w:top w:w="75" w:type="dxa"/>
              <w:start w:w="85" w:type="dxa"/>
              <w:bottom w:w="75" w:type="dxa"/>
              <w:end w:w="85" w:type="dxa"/>
            </w:tcMar>
          </w:tcPr>
          <w:p>
            <w:pPr>
              <w:jc w:val="left"/>
            </w:pPr>
            <w:r>
              <w:rPr>
                <w:sz w:val="18"/>
              </w:rPr>
              <w:t>Labels, attributes, directed or weighted exact support with explicit graph-model declarations</w:t>
            </w:r>
          </w:p>
        </w:tc>
      </w:tr>
    </w:tbl>
    <w:p/>
    <w:p>
      <w:pPr>
        <w:pStyle w:val="Heading1"/>
        <w:keepNext/>
      </w:pPr>
      <w:r>
        <w:t>19. Comparison: Current TopHash vs TopHashX</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vAlign w:val="center"/>
            <w:shd w:fill="B9CCE4"/>
            <w:tcMar>
              <w:top w:w="70" w:type="dxa"/>
              <w:start w:w="80" w:type="dxa"/>
              <w:bottom w:w="70" w:type="dxa"/>
              <w:end w:w="80" w:type="dxa"/>
            </w:tcMar>
          </w:tcPr>
          <w:p>
            <w:pPr>
              <w:jc w:val="center"/>
            </w:pPr>
            <w:r>
              <w:rPr>
                <w:b/>
                <w:color w:val="1A477A"/>
                <w:sz w:val="18"/>
              </w:rPr>
              <w:t>Dimension</w:t>
            </w:r>
          </w:p>
        </w:tc>
        <w:tc>
          <w:tcPr>
            <w:tcW w:type="dxa" w:w="3384"/>
            <w:vAlign w:val="center"/>
            <w:shd w:fill="B9CCE4"/>
            <w:tcMar>
              <w:top w:w="70" w:type="dxa"/>
              <w:start w:w="80" w:type="dxa"/>
              <w:bottom w:w="70" w:type="dxa"/>
              <w:end w:w="80" w:type="dxa"/>
            </w:tcMar>
          </w:tcPr>
          <w:p>
            <w:pPr>
              <w:jc w:val="center"/>
            </w:pPr>
            <w:r>
              <w:rPr>
                <w:b/>
                <w:color w:val="1A477A"/>
                <w:sz w:val="18"/>
              </w:rPr>
              <w:t>Current TopHash v3 / v3E</w:t>
            </w:r>
          </w:p>
        </w:tc>
        <w:tc>
          <w:tcPr>
            <w:tcW w:type="dxa" w:w="4248"/>
            <w:vAlign w:val="center"/>
            <w:shd w:fill="B9CCE4"/>
            <w:tcMar>
              <w:top w:w="70" w:type="dxa"/>
              <w:start w:w="80" w:type="dxa"/>
              <w:bottom w:w="70" w:type="dxa"/>
              <w:end w:w="80" w:type="dxa"/>
            </w:tcMar>
          </w:tcPr>
          <w:p>
            <w:pPr>
              <w:jc w:val="center"/>
            </w:pPr>
            <w:r>
              <w:rPr>
                <w:b/>
                <w:color w:val="1A477A"/>
                <w:sz w:val="18"/>
              </w:rPr>
              <w:t>TopHashX exactification stack</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Primary goal</w:t>
            </w:r>
          </w:p>
        </w:tc>
        <w:tc>
          <w:tcPr>
            <w:tcW w:type="dxa" w:w="3384"/>
            <w:vAlign w:val="center"/>
            <w:tcMar>
              <w:top w:w="75" w:type="dxa"/>
              <w:start w:w="85" w:type="dxa"/>
              <w:bottom w:w="75" w:type="dxa"/>
              <w:end w:w="85" w:type="dxa"/>
            </w:tcMar>
          </w:tcPr>
          <w:p>
            <w:pPr>
              <w:jc w:val="left"/>
            </w:pPr>
            <w:r>
              <w:rPr>
                <w:sz w:val="18"/>
              </w:rPr>
              <w:t>Approximate structural discrimination</w:t>
            </w:r>
          </w:p>
        </w:tc>
        <w:tc>
          <w:tcPr>
            <w:tcW w:type="dxa" w:w="4248"/>
            <w:vAlign w:val="center"/>
            <w:tcMar>
              <w:top w:w="75" w:type="dxa"/>
              <w:start w:w="85" w:type="dxa"/>
              <w:bottom w:w="75" w:type="dxa"/>
              <w:end w:w="85" w:type="dxa"/>
            </w:tcMar>
          </w:tcPr>
          <w:p>
            <w:pPr>
              <w:jc w:val="left"/>
            </w:pPr>
            <w:r>
              <w:rPr>
                <w:sz w:val="18"/>
              </w:rPr>
              <w:t>Approximate search plus exact canonical identity</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Main output</w:t>
            </w:r>
          </w:p>
        </w:tc>
        <w:tc>
          <w:tcPr>
            <w:tcW w:type="dxa" w:w="3384"/>
            <w:vAlign w:val="center"/>
            <w:tcMar>
              <w:top w:w="75" w:type="dxa"/>
              <w:start w:w="85" w:type="dxa"/>
              <w:bottom w:w="75" w:type="dxa"/>
              <w:end w:w="85" w:type="dxa"/>
            </w:tcMar>
          </w:tcPr>
          <w:p>
            <w:pPr>
              <w:jc w:val="left"/>
            </w:pPr>
            <w:r>
              <w:rPr>
                <w:sz w:val="18"/>
              </w:rPr>
              <w:t>52D or 156D vector</w:t>
            </w:r>
          </w:p>
        </w:tc>
        <w:tc>
          <w:tcPr>
            <w:tcW w:type="dxa" w:w="4248"/>
            <w:vAlign w:val="center"/>
            <w:tcMar>
              <w:top w:w="75" w:type="dxa"/>
              <w:start w:w="85" w:type="dxa"/>
              <w:bottom w:w="75" w:type="dxa"/>
              <w:end w:w="85" w:type="dxa"/>
            </w:tcMar>
          </w:tcPr>
          <w:p>
            <w:pPr>
              <w:jc w:val="left"/>
            </w:pPr>
            <w:r>
              <w:rPr>
                <w:sz w:val="18"/>
              </w:rPr>
              <w:t>Tuple of descriptor, canonical serialization, digest, certificate</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Equality claim</w:t>
            </w:r>
          </w:p>
        </w:tc>
        <w:tc>
          <w:tcPr>
            <w:tcW w:type="dxa" w:w="3384"/>
            <w:vAlign w:val="center"/>
            <w:tcMar>
              <w:top w:w="75" w:type="dxa"/>
              <w:start w:w="85" w:type="dxa"/>
              <w:bottom w:w="75" w:type="dxa"/>
              <w:end w:w="85" w:type="dxa"/>
            </w:tcMar>
          </w:tcPr>
          <w:p>
            <w:pPr>
              <w:jc w:val="left"/>
            </w:pPr>
            <w:r>
              <w:rPr>
                <w:sz w:val="18"/>
              </w:rPr>
              <w:t>No exact isomorphism guarantee</w:t>
            </w:r>
          </w:p>
        </w:tc>
        <w:tc>
          <w:tcPr>
            <w:tcW w:type="dxa" w:w="4248"/>
            <w:vAlign w:val="center"/>
            <w:tcMar>
              <w:top w:w="75" w:type="dxa"/>
              <w:start w:w="85" w:type="dxa"/>
              <w:bottom w:w="75" w:type="dxa"/>
              <w:end w:w="85" w:type="dxa"/>
            </w:tcMar>
          </w:tcPr>
          <w:p>
            <w:pPr>
              <w:jc w:val="left"/>
            </w:pPr>
            <w:r>
              <w:rPr>
                <w:sz w:val="18"/>
              </w:rPr>
              <w:t>Exact equality through canonical serialization</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Coarsening</w:t>
            </w:r>
          </w:p>
        </w:tc>
        <w:tc>
          <w:tcPr>
            <w:tcW w:type="dxa" w:w="3384"/>
            <w:vAlign w:val="center"/>
            <w:tcMar>
              <w:top w:w="75" w:type="dxa"/>
              <w:start w:w="85" w:type="dxa"/>
              <w:bottom w:w="75" w:type="dxa"/>
              <w:end w:w="85" w:type="dxa"/>
            </w:tcMar>
          </w:tcPr>
          <w:p>
            <w:pPr>
              <w:jc w:val="left"/>
            </w:pPr>
            <w:r>
              <w:rPr>
                <w:sz w:val="18"/>
              </w:rPr>
              <w:t>Used in ensemble; prototype currently order-sensitive</w:t>
            </w:r>
          </w:p>
        </w:tc>
        <w:tc>
          <w:tcPr>
            <w:tcW w:type="dxa" w:w="4248"/>
            <w:vAlign w:val="center"/>
            <w:tcMar>
              <w:top w:w="75" w:type="dxa"/>
              <w:start w:w="85" w:type="dxa"/>
              <w:bottom w:w="75" w:type="dxa"/>
              <w:end w:w="85" w:type="dxa"/>
            </w:tcMar>
          </w:tcPr>
          <w:p>
            <w:pPr>
              <w:jc w:val="left"/>
            </w:pPr>
            <w:r>
              <w:rPr>
                <w:sz w:val="18"/>
              </w:rPr>
              <w:t>Approximate-only or replaced with order-robust methods</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Proof object</w:t>
            </w:r>
          </w:p>
        </w:tc>
        <w:tc>
          <w:tcPr>
            <w:tcW w:type="dxa" w:w="3384"/>
            <w:vAlign w:val="center"/>
            <w:tcMar>
              <w:top w:w="75" w:type="dxa"/>
              <w:start w:w="85" w:type="dxa"/>
              <w:bottom w:w="75" w:type="dxa"/>
              <w:end w:w="85" w:type="dxa"/>
            </w:tcMar>
          </w:tcPr>
          <w:p>
            <w:pPr>
              <w:jc w:val="left"/>
            </w:pPr>
            <w:r>
              <w:rPr>
                <w:sz w:val="18"/>
              </w:rPr>
              <w:t>Explainability payload</w:t>
            </w:r>
          </w:p>
        </w:tc>
        <w:tc>
          <w:tcPr>
            <w:tcW w:type="dxa" w:w="4248"/>
            <w:vAlign w:val="center"/>
            <w:tcMar>
              <w:top w:w="75" w:type="dxa"/>
              <w:start w:w="85" w:type="dxa"/>
              <w:bottom w:w="75" w:type="dxa"/>
              <w:end w:w="85" w:type="dxa"/>
            </w:tcMar>
          </w:tcPr>
          <w:p>
            <w:pPr>
              <w:jc w:val="left"/>
            </w:pPr>
            <w:r>
              <w:rPr>
                <w:sz w:val="18"/>
              </w:rPr>
              <w:t>Formal certificate and replayable trace</w:t>
            </w:r>
          </w:p>
        </w:tc>
      </w:tr>
      <w:tr>
        <w:trPr>
          <w:cantSplit/>
        </w:trPr>
        <w:tc>
          <w:tcPr>
            <w:tcW w:type="dxa" w:w="2088"/>
            <w:vAlign w:val="center"/>
            <w:tcMar>
              <w:top w:w="75" w:type="dxa"/>
              <w:start w:w="85" w:type="dxa"/>
              <w:bottom w:w="75" w:type="dxa"/>
              <w:end w:w="85" w:type="dxa"/>
            </w:tcMar>
            <w:shd w:fill="F6F9FC"/>
          </w:tcPr>
          <w:p>
            <w:pPr>
              <w:jc w:val="center"/>
            </w:pPr>
            <w:r>
              <w:rPr>
                <w:b/>
                <w:color w:val="1A477A"/>
                <w:sz w:val="18"/>
              </w:rPr>
              <w:t>Operational ID</w:t>
            </w:r>
          </w:p>
        </w:tc>
        <w:tc>
          <w:tcPr>
            <w:tcW w:type="dxa" w:w="3384"/>
            <w:vAlign w:val="center"/>
            <w:tcMar>
              <w:top w:w="75" w:type="dxa"/>
              <w:start w:w="85" w:type="dxa"/>
              <w:bottom w:w="75" w:type="dxa"/>
              <w:end w:w="85" w:type="dxa"/>
            </w:tcMar>
          </w:tcPr>
          <w:p>
            <w:pPr>
              <w:jc w:val="left"/>
            </w:pPr>
            <w:r>
              <w:rPr>
                <w:sz w:val="18"/>
              </w:rPr>
              <w:t>Vector or metadata-defined handle</w:t>
            </w:r>
          </w:p>
        </w:tc>
        <w:tc>
          <w:tcPr>
            <w:tcW w:type="dxa" w:w="4248"/>
            <w:vAlign w:val="center"/>
            <w:tcMar>
              <w:top w:w="75" w:type="dxa"/>
              <w:start w:w="85" w:type="dxa"/>
              <w:bottom w:w="75" w:type="dxa"/>
              <w:end w:w="85" w:type="dxa"/>
            </w:tcMar>
          </w:tcPr>
          <w:p>
            <w:pPr>
              <w:jc w:val="left"/>
            </w:pPr>
            <w:r>
              <w:rPr>
                <w:sz w:val="18"/>
              </w:rPr>
              <w:t>Versioned SHA-256 digest of canonical serialization</w:t>
            </w:r>
          </w:p>
        </w:tc>
      </w:tr>
    </w:tbl>
    <w:p/>
    <w:p>
      <w:pPr>
        <w:pStyle w:val="Heading1"/>
        <w:keepNext/>
      </w:pPr>
      <w:r>
        <w:t>Appendix A. Canonization Pseudocode</w:t>
      </w:r>
    </w:p>
    <w:tbl>
      <w:tblPr>
        <w:tblW w:type="auto" w:w="0"/>
        <w:jc w:val="center"/>
        <w:tblLayout w:type="fixed"/>
        <w:tblLook w:firstColumn="1" w:firstRow="1" w:lastColumn="0" w:lastRow="0" w:noHBand="0" w:noVBand="1" w:val="04A0"/>
      </w:tblPr>
      <w:tblGrid>
        <w:gridCol w:w="9648"/>
      </w:tblGrid>
      <w:tr>
        <w:tc>
          <w:tcPr>
            <w:tcW w:type="dxa" w:w="9648"/>
            <w:shd w:fill="B9CCE4"/>
            <w:tcMar>
              <w:top w:w="70" w:type="dxa"/>
              <w:start w:w="120" w:type="dxa"/>
              <w:bottom w:w="70" w:type="dxa"/>
              <w:end w:w="120" w:type="dxa"/>
            </w:tcMar>
          </w:tcPr>
          <w:p>
            <w:r>
              <w:rPr>
                <w:b/>
                <w:color w:val="1A477A"/>
                <w:sz w:val="21"/>
              </w:rPr>
              <w:t>Illustrative pseudocode</w:t>
            </w:r>
          </w:p>
        </w:tc>
      </w:tr>
      <w:tr>
        <w:tc>
          <w:tcPr>
            <w:tcW w:type="dxa" w:w="9648"/>
            <w:shd w:fill="F7FAFD"/>
            <w:tcMar>
              <w:top w:w="100" w:type="dxa"/>
              <w:start w:w="120" w:type="dxa"/>
              <w:bottom w:w="100" w:type="dxa"/>
              <w:end w:w="120" w:type="dxa"/>
            </w:tcMar>
          </w:tcPr>
          <w:p>
            <w:pPr>
              <w:pStyle w:val="CodeBlock"/>
              <w:ind w:left="72" w:right="72"/>
            </w:pPr>
            <w:r>
              <w:t>def compute_tophashx(graph):</w:t>
              <w:br/>
              <w:t xml:space="preserve">    g = normalize_graph(graph)</w:t>
              <w:br/>
              <w:t xml:space="preserve">    approx = search.compute(g)</w:t>
              <w:br/>
              <w:t xml:space="preserve">    refine_state = refine.run(g)</w:t>
              <w:br/>
              <w:t xml:space="preserve">    canon_result = canon.canonize(g, refine_state)</w:t>
              <w:br/>
              <w:t xml:space="preserve">    exact_id = sha256(canon_result.canonical_bytes)</w:t>
              <w:br/>
              <w:t xml:space="preserve">    cert = certify.build(g, approx, refine_state, canon_result, exact_id)</w:t>
              <w:br/>
              <w:t xml:space="preserve">    return TopHashXResult(</w:t>
              <w:br/>
              <w:t xml:space="preserve">        approx=approx,</w:t>
              <w:br/>
              <w:t xml:space="preserve">        canonical=canon_result,</w:t>
              <w:br/>
              <w:t xml:space="preserve">        exact_id=exact_id,</w:t>
              <w:br/>
              <w:t xml:space="preserve">        certificate=cert,</w:t>
              <w:br/>
              <w:t xml:space="preserve">    )</w:t>
              <w:br/>
              <w:br/>
              <w:t>def canonize(g, refine_state):</w:t>
              <w:br/>
              <w:t xml:space="preserve">    state = exact_refinement(g, refine_state)</w:t>
              <w:br/>
              <w:t xml:space="preserve">    if state.is_discrete():</w:t>
              <w:br/>
              <w:t xml:space="preserve">        return serialize_leaf(state)</w:t>
              <w:br/>
              <w:t xml:space="preserve">    cell = choose_ambiguous_cell(state)</w:t>
              <w:br/>
              <w:t xml:space="preserve">    best = None</w:t>
              <w:br/>
              <w:t xml:space="preserve">    for vertex in ordered_vertices(cell):</w:t>
              <w:br/>
              <w:t xml:space="preserve">        child = individualize_and_refine(state, vertex)</w:t>
              <w:br/>
              <w:t xml:space="preserve">        if pruned_by_automorphism(child):</w:t>
              <w:br/>
              <w:t xml:space="preserve">            continue</w:t>
              <w:br/>
              <w:t xml:space="preserve">        cand = canonize(child.graph, child)</w:t>
              <w:br/>
              <w:t xml:space="preserve">        best = choose_better_canonical(best, cand)</w:t>
              <w:br/>
              <w:t xml:space="preserve">    return best</w:t>
            </w:r>
          </w:p>
        </w:tc>
      </w:tr>
    </w:tbl>
    <w:p/>
    <w:p>
      <w:pPr>
        <w:pStyle w:val="Heading1"/>
        <w:keepNext/>
      </w:pPr>
      <w:r>
        <w:t>Appendix B. Implementation Notes</w:t>
      </w:r>
    </w:p>
    <w:p>
      <w:pPr>
        <w:ind w:left="288" w:hanging="259"/>
      </w:pPr>
      <w:r>
        <w:rPr>
          <w:rFonts w:ascii="Aptos" w:hAnsi="Aptos"/>
          <w:sz w:val="21"/>
        </w:rPr>
        <w:t>• Keep approximate and exact namespaces separate in both code and marketing materials.</w:t>
      </w:r>
    </w:p>
    <w:p>
      <w:pPr>
        <w:ind w:left="288" w:hanging="259"/>
      </w:pPr>
      <w:r>
        <w:rPr>
          <w:rFonts w:ascii="Aptos" w:hAnsi="Aptos"/>
          <w:sz w:val="21"/>
        </w:rPr>
        <w:t>• Never downgrade silently from exact mode to approximate mode. Return an explicit status and reason.</w:t>
      </w:r>
    </w:p>
    <w:p>
      <w:pPr>
        <w:ind w:left="288" w:hanging="259"/>
      </w:pPr>
      <w:r>
        <w:rPr>
          <w:rFonts w:ascii="Aptos" w:hAnsi="Aptos"/>
          <w:sz w:val="21"/>
        </w:rPr>
        <w:t>• Version canonical serialization aggressively; cross-version changes must be explicit and test-covered.</w:t>
      </w:r>
    </w:p>
    <w:p>
      <w:pPr>
        <w:ind w:left="288" w:hanging="259"/>
      </w:pPr>
      <w:r>
        <w:rPr>
          <w:rFonts w:ascii="Aptos" w:hAnsi="Aptos"/>
          <w:sz w:val="21"/>
        </w:rPr>
        <w:t>• Treat proof bundle replay as a first-class engineering feature, not an afterthought.</w:t>
      </w:r>
    </w:p>
    <w:p>
      <w:pPr>
        <w:ind w:left="288" w:hanging="259"/>
      </w:pPr>
      <w:r>
        <w:rPr>
          <w:rFonts w:ascii="Aptos" w:hAnsi="Aptos"/>
          <w:sz w:val="21"/>
        </w:rPr>
        <w:t>• Preserve explainability from current TopHash v3: view weights, cross terms, and structural summaries remain useful even after exactification.</w:t>
      </w:r>
    </w:p>
    <w:sectPr w:rsidR="00FC693F" w:rsidRPr="0006063C" w:rsidSect="00034616">
      <w:headerReference w:type="default" r:id="rId9"/>
      <w:footerReference w:type="default" r:id="rId10"/>
      <w:pgSz w:w="12240" w:h="15840"/>
      <w:pgMar w:top="1152"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36E"/>
        <w:sz w:val="17"/>
      </w:rPr>
      <w:t xml:space="preserve">Confidential draft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36E"/>
        <w:sz w:val="17"/>
      </w:rPr>
      <w:t>TopHash Exactification Stack — Technical Specification and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00"/>
      <w:outlineLvl w:val="0"/>
    </w:pPr>
    <w:rPr>
      <w:rFonts w:asciiTheme="majorHAnsi" w:eastAsiaTheme="majorEastAsia" w:hAnsiTheme="majorHAnsi" w:cstheme="majorBidi" w:ascii="Aptos" w:hAnsi="Aptos"/>
      <w:b/>
      <w:bCs/>
      <w:color w:val="1A477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A477A"/>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A47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A47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b w:val="0"/>
      <w:i/>
      <w:iCs/>
      <w:color w:val="5A63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144" w:right="144"/>
    </w:pPr>
    <w:rPr>
      <w:rFonts w:ascii="Courier New" w:hAnsi="Courier New"/>
      <w:sz w:val="17"/>
    </w:rPr>
  </w:style>
  <w:style w:type="paragraph" w:customStyle="1" w:styleId="Small">
    <w:name w:val="Small"/>
    <w:pPr>
      <w:spacing w:after="80"/>
    </w:pPr>
    <w:rPr>
      <w:rFonts w:ascii="Aptos" w:hAnsi="Aptos"/>
      <w:color w:val="5A63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