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56"/>
        </w:rPr>
        <w:t>PERSONAL BRAND AUTHORITY</w:t>
      </w:r>
    </w:p>
    <w:p>
      <w:pPr>
        <w:jc w:val="center"/>
      </w:pPr>
      <w:r>
        <w:rPr>
          <w:i/>
          <w:color w:val="C5A02B"/>
          <w:sz w:val="32"/>
        </w:rPr>
        <w:t>Positioning Yourself as a Category-of-One Leader in the Digital Economy</w:t>
      </w:r>
    </w:p>
    <w:p>
      <w:r>
        <w:br/>
      </w:r>
    </w:p>
    <w:p>
      <w:pPr>
        <w:pStyle w:val="Heading1"/>
      </w:pPr>
      <w:r>
        <w:t>Strategic Roadmap</w:t>
      </w:r>
    </w:p>
    <w:p>
      <w:r>
        <w:t>This blueprint is structured for rapid implementation and long-term mastery. Follow the phases in sequence for maximum ROI.</w:t>
      </w:r>
    </w:p>
    <w:p>
      <w:pPr>
        <w:pStyle w:val="Heading2"/>
      </w:pPr>
      <w:r>
        <w:t>The Authority Curve</w:t>
      </w:r>
    </w:p>
    <w:p>
      <w:pPr>
        <w:jc w:val="left"/>
      </w:pPr>
      <w:r>
        <w:t>Why being an 'Expert' is no longer enough. You must become an 'Architect'. This section details the psychological shifts required to move from a service provider to a recognized industry leader.</w:t>
      </w:r>
    </w:p>
    <w:p>
      <w:r>
        <w:br/>
      </w:r>
    </w:p>
    <w:p>
      <w:pPr>
        <w:pStyle w:val="Heading2"/>
      </w:pPr>
      <w:r>
        <w:t>Strategic Storytelling (The Hero's Architecture)</w:t>
      </w:r>
    </w:p>
    <w:p>
      <w:pPr>
        <w:jc w:val="left"/>
      </w:pPr>
      <w:r>
        <w:t>Your journey is your greatest asset. Learn how to frame your past experiences and failures into a compelling narrative that builds instant trust and positions you as the guide for your audience.</w:t>
      </w:r>
    </w:p>
    <w:p>
      <w:r>
        <w:br/>
      </w:r>
    </w:p>
    <w:p>
      <w:pPr>
        <w:pStyle w:val="Heading2"/>
      </w:pPr>
      <w:r>
        <w:t>The Omnipresence Strategy</w:t>
      </w:r>
    </w:p>
    <w:p>
      <w:pPr>
        <w:jc w:val="left"/>
      </w:pPr>
      <w:r>
        <w:t>How to be everywhere without burning out. We reveal the 'Content Pillar' system for creating a month's worth of value-driven social media posts in a single afternoon, ensuring you stay top-of-mind for your prospects.</w:t>
      </w:r>
    </w:p>
    <w:p>
      <w:r>
        <w:br/>
      </w:r>
    </w:p>
    <w:p>
      <w:pPr>
        <w:pStyle w:val="Heading2"/>
      </w:pPr>
      <w:r>
        <w:t>High-Ticket Ethical Closing</w:t>
      </w:r>
    </w:p>
    <w:p>
      <w:pPr>
        <w:jc w:val="left"/>
      </w:pPr>
      <w:r>
        <w:t>Stop 'selling' and start 'diagnosing'. Learn the 'Discovery Call' script used to close 5-figure projects without pressure. We cover how to handle objections by focusing on the client's ROI and their own 'Layunin'.</w:t>
      </w:r>
    </w:p>
    <w:p>
      <w:r>
        <w:br/>
      </w:r>
    </w:p>
    <w:p>
      <w:pPr>
        <w:pStyle w:val="Heading2"/>
      </w:pPr>
      <w:r>
        <w:t>The Visual Identity of Excellence</w:t>
      </w:r>
    </w:p>
    <w:p>
      <w:pPr>
        <w:jc w:val="left"/>
      </w:pPr>
      <w:r>
        <w:t>How to align your digital presence—from your site to your social profiles—with the 'Elite' standard. Includes guidelines on brand voice, aesthetic consistency, and the 'Golden Ratio' of professional positioning.</w:t>
      </w:r>
    </w:p>
    <w:p>
      <w:r>
        <w:br/>
      </w:r>
    </w:p>
    <w:p>
      <w:pPr>
        <w:pStyle w:val="Heading2"/>
      </w:pPr>
      <w:r>
        <w:t>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